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819"/>
        <w:spacing w:line="360" w:lineRule="auto"/>
        <w:rPr>
          <w:rFonts w:ascii="黑体" w:eastAsia="黑体" w:cs="黑体"/>
          <w:color w:val="auto"/>
          <w:sz w:val="36"/>
          <w:szCs w:val="36"/>
          <w:highlight w:val="none"/>
          <w:lang w:val="zh-CN"/>
        </w:rPr>
      </w:pPr>
      <w:r>
        <w:rPr>
          <w:rFonts w:ascii="黑体" w:eastAsia="黑体" w:cs="黑体"/>
          <w:color w:val="auto"/>
          <w:sz w:val="36"/>
          <w:szCs w:val="36"/>
          <w:highlight w:val="none"/>
          <w:lang w:val="zh-CN"/>
        </w:rPr>
      </w:r>
      <w:r/>
    </w:p>
    <w:p>
      <w:pPr>
        <w:pStyle w:val="898"/>
        <w:ind w:left="1470" w:right="1470"/>
        <w:spacing w:line="360" w:lineRule="auto"/>
        <w:rPr>
          <w:rFonts w:ascii="黑体" w:eastAsia="黑体" w:cs="黑体"/>
          <w:color w:val="auto"/>
          <w:sz w:val="36"/>
          <w:szCs w:val="36"/>
          <w:highlight w:val="none"/>
          <w:lang w:val="zh-CN"/>
        </w:rPr>
      </w:pPr>
      <w:r>
        <w:rPr>
          <w:rFonts w:ascii="黑体" w:eastAsia="黑体" w:cs="黑体"/>
          <w:color w:val="auto"/>
          <w:sz w:val="36"/>
          <w:szCs w:val="36"/>
          <w:highlight w:val="none"/>
          <w:lang w:val="zh-CN"/>
        </w:rPr>
      </w:r>
      <w:r/>
    </w:p>
    <w:p>
      <w:pPr>
        <w:jc w:val="center"/>
        <w:spacing w:line="360" w:lineRule="auto"/>
        <w:rPr>
          <w:rFonts w:ascii="黑体" w:eastAsia="黑体" w:cs="黑体"/>
          <w:color w:val="auto"/>
          <w:sz w:val="100"/>
          <w:szCs w:val="100"/>
          <w:highlight w:val="none"/>
          <w:lang w:val="zh-CN"/>
        </w:rPr>
      </w:pPr>
      <w:r>
        <w:rPr>
          <w:rFonts w:hint="eastAsia" w:ascii="黑体" w:eastAsia="黑体" w:cs="黑体"/>
          <w:color w:val="auto"/>
          <w:sz w:val="72"/>
          <w:szCs w:val="72"/>
          <w:highlight w:val="none"/>
          <w:lang w:val="zh-CN"/>
        </w:rPr>
        <w:t xml:space="preserve">公开招标文件</w:t>
      </w:r>
      <w:r/>
    </w:p>
    <w:p>
      <w:pPr>
        <w:spacing w:line="360" w:lineRule="auto"/>
        <w:rPr>
          <w:rFonts w:ascii="黑体" w:eastAsia="黑体" w:cs="黑体"/>
          <w:color w:val="auto"/>
          <w:sz w:val="44"/>
          <w:szCs w:val="44"/>
          <w:highlight w:val="none"/>
          <w:lang w:val="zh-CN"/>
        </w:rPr>
      </w:pPr>
      <w:r>
        <w:rPr>
          <w:rFonts w:ascii="黑体" w:eastAsia="黑体" w:cs="黑体"/>
          <w:color w:val="auto"/>
          <w:sz w:val="44"/>
          <w:szCs w:val="44"/>
          <w:highlight w:val="none"/>
          <w:lang w:val="zh-CN"/>
        </w:rPr>
      </w:r>
      <w:r/>
    </w:p>
    <w:p>
      <w:pPr>
        <w:pStyle w:val="1076"/>
        <w:spacing w:line="360" w:lineRule="auto"/>
        <w:rPr>
          <w:color w:val="auto"/>
          <w:highlight w:val="none"/>
          <w:lang w:val="zh-CN"/>
        </w:rPr>
      </w:pPr>
      <w:r>
        <w:rPr>
          <w:color w:val="auto"/>
          <w:highlight w:val="none"/>
          <w:lang w:val="zh-CN"/>
        </w:rPr>
      </w:r>
      <w:r/>
    </w:p>
    <w:p>
      <w:pPr>
        <w:pStyle w:val="1076"/>
        <w:spacing w:line="360" w:lineRule="auto"/>
        <w:rPr>
          <w:color w:val="auto"/>
          <w:highlight w:val="none"/>
          <w:lang w:val="zh-CN"/>
        </w:rPr>
      </w:pPr>
      <w:r>
        <w:rPr>
          <w:color w:val="auto"/>
          <w:highlight w:val="none"/>
          <w:lang w:val="zh-CN"/>
        </w:rPr>
      </w:r>
      <w:r/>
    </w:p>
    <w:p>
      <w:pPr>
        <w:ind w:firstLine="1080"/>
        <w:spacing w:line="360" w:lineRule="auto"/>
        <w:rPr>
          <w:rFonts w:hint="eastAsia" w:ascii="黑体" w:eastAsia="黑体" w:cs="黑体"/>
          <w:color w:val="auto"/>
          <w:sz w:val="36"/>
          <w:szCs w:val="36"/>
          <w:highlight w:val="none"/>
          <w:lang w:eastAsia="zh-CN"/>
        </w:rPr>
      </w:pPr>
      <w:r>
        <w:rPr>
          <w:rFonts w:hint="eastAsia" w:ascii="黑体" w:eastAsia="黑体" w:cs="黑体"/>
          <w:color w:val="auto"/>
          <w:sz w:val="36"/>
          <w:szCs w:val="36"/>
          <w:highlight w:val="none"/>
          <w:lang w:val="zh-CN"/>
        </w:rPr>
        <w:t xml:space="preserve">项目编号：</w:t>
      </w:r>
      <w:r>
        <w:rPr>
          <w:rFonts w:hint="eastAsia" w:ascii="黑体" w:eastAsia="黑体" w:cs="黑体"/>
          <w:color w:val="auto"/>
          <w:sz w:val="36"/>
          <w:szCs w:val="36"/>
          <w:highlight w:val="none"/>
          <w:lang w:eastAsia="zh-CN"/>
        </w:rPr>
        <w:t xml:space="preserve">JSZC-320100-CJZX-G2025-0008</w:t>
      </w:r>
      <w:r/>
    </w:p>
    <w:p>
      <w:pPr>
        <w:ind w:left="1770" w:hanging="720"/>
        <w:spacing w:line="360" w:lineRule="auto"/>
        <w:rPr>
          <w:rFonts w:ascii="黑体" w:eastAsia="黑体" w:cs="黑体"/>
          <w:color w:val="auto"/>
          <w:sz w:val="36"/>
          <w:szCs w:val="36"/>
          <w:highlight w:val="none"/>
          <w:lang w:val="zh-CN"/>
        </w:rPr>
      </w:pPr>
      <w:r>
        <w:rPr>
          <w:rFonts w:hint="eastAsia" w:ascii="黑体" w:eastAsia="黑体" w:cs="黑体"/>
          <w:color w:val="auto"/>
          <w:sz w:val="36"/>
          <w:szCs w:val="36"/>
          <w:highlight w:val="none"/>
          <w:lang w:val="zh-CN"/>
        </w:rPr>
        <w:t xml:space="preserve">项目名称：2026年度秦淮河河道堤防养护项目</w:t>
      </w:r>
      <w:r/>
    </w:p>
    <w:p>
      <w:pPr>
        <w:pStyle w:val="891"/>
        <w:ind w:firstLine="640"/>
        <w:spacing w:line="360" w:lineRule="auto"/>
        <w:rPr>
          <w:rFonts w:ascii="黑体" w:eastAsia="黑体" w:cs="黑体"/>
          <w:color w:val="auto"/>
          <w:sz w:val="32"/>
          <w:szCs w:val="32"/>
          <w:highlight w:val="none"/>
        </w:rPr>
      </w:pPr>
      <w:r>
        <w:rPr>
          <w:rFonts w:hint="eastAsia" w:ascii="黑体" w:eastAsia="黑体" w:cs="黑体"/>
          <w:color w:val="auto"/>
          <w:sz w:val="32"/>
          <w:szCs w:val="32"/>
          <w:highlight w:val="none"/>
          <w:lang w:val="zh-CN"/>
        </w:rPr>
        <w:t xml:space="preserve">   </w:t>
      </w:r>
      <w:r>
        <w:rPr>
          <w:rFonts w:hint="eastAsia" w:ascii="黑体" w:eastAsia="黑体" w:cs="黑体"/>
          <w:color w:val="auto"/>
          <w:sz w:val="36"/>
          <w:szCs w:val="36"/>
          <w:highlight w:val="none"/>
          <w:lang w:val="zh-CN"/>
        </w:rPr>
        <w:t xml:space="preserve">项目类别：</w:t>
      </w:r>
      <w:r>
        <w:rPr>
          <w:rFonts w:hint="eastAsia" w:ascii="黑体" w:eastAsia="黑体" w:cs="黑体"/>
          <w:color w:val="auto"/>
          <w:sz w:val="36"/>
          <w:szCs w:val="36"/>
          <w:highlight w:val="none"/>
        </w:rPr>
        <w:t xml:space="preserve">服务类</w:t>
      </w:r>
      <w:r/>
    </w:p>
    <w:p>
      <w:pPr>
        <w:pStyle w:val="891"/>
        <w:ind w:firstLine="640"/>
        <w:spacing w:line="360" w:lineRule="auto"/>
        <w:rPr>
          <w:rFonts w:ascii="黑体" w:eastAsia="黑体" w:cs="黑体"/>
          <w:color w:val="auto"/>
          <w:sz w:val="32"/>
          <w:szCs w:val="32"/>
          <w:highlight w:val="none"/>
          <w:lang w:val="zh-CN"/>
        </w:rPr>
      </w:pPr>
      <w:r>
        <w:rPr>
          <w:rFonts w:ascii="黑体" w:eastAsia="黑体" w:cs="黑体"/>
          <w:color w:val="auto"/>
          <w:sz w:val="32"/>
          <w:szCs w:val="32"/>
          <w:highlight w:val="none"/>
          <w:lang w:val="zh-CN"/>
        </w:rPr>
      </w:r>
      <w:r/>
    </w:p>
    <w:p>
      <w:pPr>
        <w:pStyle w:val="891"/>
        <w:ind w:firstLine="0"/>
        <w:jc w:val="center"/>
        <w:spacing w:line="360" w:lineRule="auto"/>
        <w:rPr>
          <w:rFonts w:ascii="黑体" w:eastAsia="黑体" w:cs="黑体"/>
          <w:color w:val="auto"/>
          <w:sz w:val="32"/>
          <w:szCs w:val="32"/>
          <w:highlight w:val="none"/>
          <w:lang w:val="zh-CN"/>
        </w:rPr>
      </w:pPr>
      <w:r>
        <w:rPr>
          <w:rFonts w:ascii="黑体" w:eastAsia="黑体" w:cs="黑体"/>
          <w:color w:val="auto"/>
          <w:sz w:val="32"/>
          <w:szCs w:val="32"/>
          <w:highlight w:val="none"/>
          <w:lang w:val="zh-CN"/>
        </w:rPr>
      </w:r>
      <w:r/>
    </w:p>
    <w:p>
      <w:pPr>
        <w:pStyle w:val="891"/>
        <w:ind w:firstLine="0"/>
        <w:jc w:val="center"/>
        <w:spacing w:line="360" w:lineRule="auto"/>
        <w:rPr>
          <w:rFonts w:ascii="黑体" w:eastAsia="黑体" w:cs="黑体"/>
          <w:color w:val="auto"/>
          <w:sz w:val="32"/>
          <w:szCs w:val="32"/>
          <w:highlight w:val="none"/>
          <w:lang w:val="zh-CN"/>
        </w:rPr>
      </w:pPr>
      <w:r>
        <w:rPr>
          <w:rFonts w:hint="eastAsia" w:ascii="等线" w:hAnsi="等线" w:eastAsia="等线" w:cs="等线"/>
          <w:b/>
          <w:color w:val="auto"/>
          <w:sz w:val="36"/>
          <w:szCs w:val="36"/>
          <w:highlight w:val="none"/>
        </w:rPr>
        <mc:AlternateContent>
          <mc:Choice Requires="wpg">
            <w:drawing>
              <wp:inline xmlns:wp="http://schemas.openxmlformats.org/drawingml/2006/wordprocessingDrawing" distT="0" distB="0" distL="0" distR="0">
                <wp:extent cx="3232150" cy="2144395"/>
                <wp:effectExtent l="0" t="0" r="13970" b="4445"/>
                <wp:docPr id="2" name="图片 2" descr="微信图片_2024031514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40315142306"/>
                        <pic:cNvPicPr>
                          <a:picLocks noChangeAspect="1"/>
                        </pic:cNvPicPr>
                        <pic:nvPr/>
                      </pic:nvPicPr>
                      <pic:blipFill>
                        <a:blip r:embed="rId13"/>
                        <a:stretch/>
                      </pic:blipFill>
                      <pic:spPr bwMode="auto">
                        <a:xfrm>
                          <a:off x="0" y="0"/>
                          <a:ext cx="3232150" cy="21443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4.5pt;height:168.8pt;mso-wrap-distance-left:0.0pt;mso-wrap-distance-top:0.0pt;mso-wrap-distance-right:0.0pt;mso-wrap-distance-bottom:0.0pt;" stroked="false">
                <v:path textboxrect="0,0,0,0"/>
                <v:imagedata r:id="rId13" o:title=""/>
              </v:shape>
            </w:pict>
          </mc:Fallback>
        </mc:AlternateContent>
      </w:r>
      <w:r/>
    </w:p>
    <w:p>
      <w:pPr>
        <w:pStyle w:val="891"/>
        <w:ind w:firstLine="0"/>
        <w:spacing w:line="360" w:lineRule="auto"/>
        <w:rPr>
          <w:rFonts w:ascii="黑体" w:eastAsia="黑体" w:cs="黑体"/>
          <w:color w:val="auto"/>
          <w:sz w:val="32"/>
          <w:szCs w:val="32"/>
          <w:highlight w:val="none"/>
          <w:lang w:val="zh-CN"/>
        </w:rPr>
      </w:pPr>
      <w:r>
        <w:rPr>
          <w:rFonts w:ascii="黑体" w:eastAsia="黑体" w:cs="黑体"/>
          <w:color w:val="auto"/>
          <w:sz w:val="32"/>
          <w:szCs w:val="32"/>
          <w:highlight w:val="none"/>
          <w:lang w:val="zh-CN"/>
        </w:rPr>
      </w:r>
      <w:r/>
    </w:p>
    <w:p>
      <w:pPr>
        <w:ind w:firstLine="720"/>
        <w:spacing w:line="360" w:lineRule="auto"/>
        <w:rPr>
          <w:rFonts w:ascii="黑体" w:hAnsi="宋体" w:eastAsia="黑体"/>
          <w:color w:val="auto"/>
          <w:sz w:val="36"/>
          <w:szCs w:val="36"/>
          <w:highlight w:val="none"/>
        </w:rPr>
      </w:pPr>
      <w:r>
        <w:rPr>
          <w:rFonts w:hint="eastAsia" w:ascii="黑体" w:hAnsi="宋体" w:eastAsia="黑体"/>
          <w:color w:val="auto"/>
          <w:sz w:val="36"/>
          <w:szCs w:val="36"/>
          <w:highlight w:val="none"/>
        </w:rPr>
        <w:t xml:space="preserve">采 购 人:  南京市秦淮河河道管理处　　</w:t>
      </w:r>
      <w:r/>
    </w:p>
    <w:p>
      <w:pPr>
        <w:ind w:firstLine="720"/>
        <w:spacing w:line="360" w:lineRule="auto"/>
        <w:rPr>
          <w:rFonts w:ascii="黑体" w:hAnsi="宋体" w:eastAsia="黑体"/>
          <w:color w:val="auto"/>
          <w:sz w:val="36"/>
          <w:szCs w:val="36"/>
          <w:highlight w:val="none"/>
        </w:rPr>
      </w:pPr>
      <w:r>
        <w:rPr>
          <w:rFonts w:hint="eastAsia" w:ascii="黑体" w:hAnsi="宋体" w:eastAsia="黑体"/>
          <w:color w:val="auto"/>
          <w:sz w:val="36"/>
          <w:szCs w:val="36"/>
          <w:highlight w:val="none"/>
        </w:rPr>
        <w:t xml:space="preserve">采购代理机构：江苏程杰工程咨询有限公司</w:t>
      </w:r>
      <w:r/>
    </w:p>
    <w:p>
      <w:pPr>
        <w:pStyle w:val="899"/>
        <w:ind w:left="598" w:firstLine="180"/>
        <w:spacing w:line="360" w:lineRule="auto"/>
        <w:rPr>
          <w:rFonts w:ascii="黑体" w:hAnsi="宋体" w:eastAsia="黑体"/>
          <w:color w:val="auto"/>
          <w:sz w:val="36"/>
          <w:szCs w:val="36"/>
          <w:highlight w:val="none"/>
        </w:rPr>
      </w:pPr>
      <w:r>
        <w:rPr>
          <w:rFonts w:hint="eastAsia" w:ascii="黑体" w:hAnsi="宋体" w:eastAsia="黑体"/>
          <w:color w:val="auto"/>
          <w:sz w:val="36"/>
          <w:szCs w:val="36"/>
          <w:highlight w:val="none"/>
        </w:rPr>
        <w:t xml:space="preserve">日       期：2025年11月</w:t>
      </w:r>
      <w:r/>
    </w:p>
    <w:p>
      <w:pPr>
        <w:jc w:val="center"/>
        <w:pageBreakBefore/>
        <w:spacing w:line="360" w:lineRule="auto"/>
        <w:rPr>
          <w:rFonts w:ascii="宋体" w:hAnsi="宋体"/>
          <w:b/>
          <w:bCs/>
          <w:color w:val="auto"/>
          <w:sz w:val="36"/>
          <w:szCs w:val="36"/>
          <w:highlight w:val="none"/>
        </w:rPr>
      </w:pPr>
      <w:r>
        <w:rPr>
          <w:rFonts w:ascii="宋体" w:hAnsi="宋体"/>
          <w:b/>
          <w:bCs/>
          <w:color w:val="auto"/>
          <w:sz w:val="36"/>
          <w:szCs w:val="36"/>
          <w:highlight w:val="none"/>
        </w:rPr>
        <w:t xml:space="preserve">目</w:t>
      </w:r>
      <w:r>
        <w:rPr>
          <w:rFonts w:hint="eastAsia" w:ascii="宋体" w:hAnsi="宋体"/>
          <w:b/>
          <w:bCs/>
          <w:color w:val="auto"/>
          <w:sz w:val="36"/>
          <w:szCs w:val="36"/>
          <w:highlight w:val="none"/>
        </w:rPr>
        <w:t xml:space="preserve">   </w:t>
      </w:r>
      <w:r>
        <w:rPr>
          <w:rFonts w:ascii="宋体" w:hAnsi="宋体"/>
          <w:b/>
          <w:bCs/>
          <w:color w:val="auto"/>
          <w:sz w:val="36"/>
          <w:szCs w:val="36"/>
          <w:highlight w:val="none"/>
        </w:rPr>
        <w:t xml:space="preserve">录</w:t>
      </w:r>
      <w:r/>
    </w:p>
    <w:p>
      <w:pPr>
        <w:pStyle w:val="899"/>
        <w:ind w:left="1260"/>
        <w:spacing w:line="360" w:lineRule="auto"/>
        <w:rPr>
          <w:color w:val="auto"/>
          <w:highlight w:val="none"/>
        </w:rPr>
      </w:pPr>
      <w:r>
        <w:rPr>
          <w:color w:val="auto"/>
          <w:highlight w:val="none"/>
        </w:rPr>
      </w:r>
      <w:r/>
    </w:p>
    <w:p>
      <w:pPr>
        <w:pStyle w:val="1282"/>
        <w:spacing w:line="360" w:lineRule="auto"/>
        <w:widowControl w:val="off"/>
        <w:tabs>
          <w:tab w:val="right" w:pos="9768" w:leader="dot"/>
        </w:tabs>
        <w:rPr>
          <w:b/>
          <w:color w:val="auto"/>
          <w:highlight w:val="none"/>
        </w:rPr>
      </w:pPr>
      <w:r>
        <w:rPr>
          <w:color w:val="auto"/>
          <w:highlight w:val="none"/>
        </w:rPr>
        <w:fldChar w:fldCharType="begin"/>
      </w:r>
      <w:r>
        <w:rPr>
          <w:color w:val="auto"/>
          <w:highlight w:val="none"/>
        </w:rPr>
        <w:instrText xml:space="preserve">TOC \o "1-2" \h \u </w:instrText>
      </w:r>
      <w:r>
        <w:rPr>
          <w:color w:val="auto"/>
          <w:highlight w:val="none"/>
        </w:rPr>
        <w:fldChar w:fldCharType="separate"/>
      </w:r>
      <w:r>
        <w:rPr>
          <w:color w:val="auto"/>
          <w:highlight w:val="none"/>
        </w:rPr>
        <w:fldChar w:fldCharType="begin"/>
      </w:r>
      <w:r>
        <w:rPr>
          <w:color w:val="auto"/>
          <w:highlight w:val="none"/>
        </w:rPr>
        <w:instrText xml:space="preserve"> HYPERLINK \l "_Toc29416" </w:instrText>
      </w:r>
      <w:r>
        <w:rPr>
          <w:color w:val="auto"/>
          <w:highlight w:val="none"/>
        </w:rPr>
        <w:fldChar w:fldCharType="separate"/>
      </w:r>
      <w:r>
        <w:rPr>
          <w:rFonts w:hint="eastAsia" w:ascii="黑体" w:hAnsi="黑体" w:eastAsia="黑体" w:cs="黑体"/>
          <w:b/>
          <w:bCs/>
          <w:color w:val="auto"/>
          <w:szCs w:val="32"/>
          <w:highlight w:val="none"/>
          <w:lang w:val="zh-CN"/>
        </w:rPr>
        <w:t xml:space="preserve">第一章</w:t>
      </w:r>
      <w:r>
        <w:rPr>
          <w:rFonts w:hint="eastAsia" w:ascii="黑体" w:hAnsi="黑体" w:eastAsia="黑体" w:cs="黑体"/>
          <w:b/>
          <w:bCs/>
          <w:color w:val="auto"/>
          <w:szCs w:val="32"/>
          <w:highlight w:val="none"/>
        </w:rPr>
        <w:t xml:space="preserve"> </w:t>
      </w:r>
      <w:r>
        <w:rPr>
          <w:rFonts w:hint="eastAsia" w:ascii="黑体" w:hAnsi="黑体" w:eastAsia="黑体" w:cs="黑体"/>
          <w:b/>
          <w:bCs/>
          <w:color w:val="auto"/>
          <w:szCs w:val="32"/>
          <w:highlight w:val="none"/>
          <w:lang w:val="zh-CN"/>
        </w:rPr>
        <w:t xml:space="preserve">投标邀请</w:t>
      </w:r>
      <w:r>
        <w:rPr>
          <w:b/>
          <w:color w:val="auto"/>
          <w:highlight w:val="none"/>
        </w:rPr>
        <w:tab/>
      </w:r>
      <w:r>
        <w:rPr>
          <w:b/>
          <w:color w:val="auto"/>
          <w:highlight w:val="none"/>
        </w:rPr>
        <w:fldChar w:fldCharType="begin"/>
      </w:r>
      <w:r>
        <w:rPr>
          <w:b/>
          <w:color w:val="auto"/>
          <w:highlight w:val="none"/>
        </w:rPr>
        <w:instrText xml:space="preserve"> PAGEREF _Toc29416 \h </w:instrText>
      </w:r>
      <w:r>
        <w:rPr>
          <w:b/>
          <w:color w:val="auto"/>
          <w:highlight w:val="none"/>
        </w:rPr>
        <w:fldChar w:fldCharType="separate"/>
      </w:r>
      <w:r>
        <w:rPr>
          <w:b/>
          <w:color w:val="auto"/>
          <w:highlight w:val="none"/>
        </w:rPr>
        <w:t xml:space="preserve">- 4 -</w:t>
      </w:r>
      <w:r>
        <w:rPr>
          <w:b/>
          <w:color w:val="auto"/>
          <w:highlight w:val="none"/>
        </w:rPr>
        <w:fldChar w:fldCharType="end"/>
      </w:r>
      <w:r>
        <w:rPr>
          <w:b/>
          <w:color w:val="auto"/>
          <w:highlight w:val="none"/>
        </w:rPr>
        <w:fldChar w:fldCharType="end"/>
      </w:r>
      <w:r/>
    </w:p>
    <w:p>
      <w:pPr>
        <w:pStyle w:val="1282"/>
        <w:spacing w:line="360" w:lineRule="auto"/>
        <w:widowControl w:val="off"/>
        <w:tabs>
          <w:tab w:val="right" w:pos="9768" w:leader="dot"/>
        </w:tabs>
        <w:rPr>
          <w:b/>
          <w:color w:val="auto"/>
          <w:highlight w:val="none"/>
        </w:rPr>
      </w:pPr>
      <w:r>
        <w:rPr>
          <w:color w:val="auto"/>
          <w:highlight w:val="none"/>
        </w:rPr>
        <w:fldChar w:fldCharType="begin"/>
      </w:r>
      <w:r>
        <w:rPr>
          <w:color w:val="auto"/>
          <w:highlight w:val="none"/>
        </w:rPr>
        <w:instrText xml:space="preserve"> HYPERLINK \l "_Toc15304" </w:instrText>
      </w:r>
      <w:r>
        <w:rPr>
          <w:color w:val="auto"/>
          <w:highlight w:val="none"/>
        </w:rPr>
        <w:fldChar w:fldCharType="separate"/>
      </w:r>
      <w:r>
        <w:rPr>
          <w:rFonts w:hint="eastAsia" w:ascii="黑体" w:hAnsi="黑体" w:eastAsia="黑体" w:cs="黑体"/>
          <w:b/>
          <w:bCs/>
          <w:color w:val="auto"/>
          <w:szCs w:val="32"/>
          <w:highlight w:val="none"/>
          <w:lang w:val="zh-CN"/>
        </w:rPr>
        <w:t xml:space="preserve">第二章 供应商须知</w:t>
      </w:r>
      <w:r>
        <w:rPr>
          <w:b/>
          <w:color w:val="auto"/>
          <w:highlight w:val="none"/>
        </w:rPr>
        <w:tab/>
      </w:r>
      <w:r>
        <w:rPr>
          <w:b/>
          <w:color w:val="auto"/>
          <w:highlight w:val="none"/>
        </w:rPr>
        <w:fldChar w:fldCharType="begin"/>
      </w:r>
      <w:r>
        <w:rPr>
          <w:b/>
          <w:color w:val="auto"/>
          <w:highlight w:val="none"/>
        </w:rPr>
        <w:instrText xml:space="preserve"> PAGEREF _Toc15304 \h </w:instrText>
      </w:r>
      <w:r>
        <w:rPr>
          <w:b/>
          <w:color w:val="auto"/>
          <w:highlight w:val="none"/>
        </w:rPr>
        <w:fldChar w:fldCharType="separate"/>
      </w:r>
      <w:r>
        <w:rPr>
          <w:b/>
          <w:color w:val="auto"/>
          <w:highlight w:val="none"/>
        </w:rPr>
        <w:t xml:space="preserve">- 8 -</w:t>
      </w:r>
      <w:r>
        <w:rPr>
          <w:b/>
          <w:color w:val="auto"/>
          <w:highlight w:val="none"/>
        </w:rPr>
        <w:fldChar w:fldCharType="end"/>
      </w:r>
      <w:r>
        <w:rPr>
          <w:b/>
          <w:color w:val="auto"/>
          <w:highlight w:val="none"/>
        </w:rPr>
        <w:fldChar w:fldCharType="end"/>
      </w:r>
      <w:r/>
    </w:p>
    <w:p>
      <w:pPr>
        <w:pStyle w:val="1282"/>
        <w:spacing w:line="360" w:lineRule="auto"/>
        <w:widowControl w:val="off"/>
        <w:tabs>
          <w:tab w:val="right" w:pos="9768" w:leader="dot"/>
        </w:tabs>
        <w:rPr>
          <w:b/>
          <w:color w:val="auto"/>
          <w:highlight w:val="none"/>
        </w:rPr>
      </w:pPr>
      <w:r>
        <w:rPr>
          <w:color w:val="auto"/>
          <w:highlight w:val="none"/>
        </w:rPr>
        <w:fldChar w:fldCharType="begin"/>
      </w:r>
      <w:r>
        <w:rPr>
          <w:color w:val="auto"/>
          <w:highlight w:val="none"/>
        </w:rPr>
        <w:instrText xml:space="preserve"> HYPERLINK \l "_Toc28870" </w:instrText>
      </w:r>
      <w:r>
        <w:rPr>
          <w:color w:val="auto"/>
          <w:highlight w:val="none"/>
        </w:rPr>
        <w:fldChar w:fldCharType="separate"/>
      </w:r>
      <w:r>
        <w:rPr>
          <w:rFonts w:hint="eastAsia" w:ascii="黑体" w:hAnsi="黑体" w:eastAsia="黑体" w:cs="黑体"/>
          <w:b/>
          <w:bCs/>
          <w:color w:val="auto"/>
          <w:szCs w:val="32"/>
          <w:highlight w:val="none"/>
          <w:lang w:val="zh-CN"/>
        </w:rPr>
        <w:t xml:space="preserve">第三章 评标标准</w:t>
      </w:r>
      <w:r>
        <w:rPr>
          <w:b/>
          <w:color w:val="auto"/>
          <w:highlight w:val="none"/>
        </w:rPr>
        <w:tab/>
      </w:r>
      <w:r>
        <w:rPr>
          <w:b/>
          <w:color w:val="auto"/>
          <w:highlight w:val="none"/>
        </w:rPr>
        <w:fldChar w:fldCharType="begin"/>
      </w:r>
      <w:r>
        <w:rPr>
          <w:b/>
          <w:color w:val="auto"/>
          <w:highlight w:val="none"/>
        </w:rPr>
        <w:instrText xml:space="preserve"> PAGEREF _Toc28870 \h </w:instrText>
      </w:r>
      <w:r>
        <w:rPr>
          <w:b/>
          <w:color w:val="auto"/>
          <w:highlight w:val="none"/>
        </w:rPr>
        <w:fldChar w:fldCharType="separate"/>
      </w:r>
      <w:r>
        <w:rPr>
          <w:b/>
          <w:color w:val="auto"/>
          <w:highlight w:val="none"/>
        </w:rPr>
        <w:t xml:space="preserve">- 21 -</w:t>
      </w:r>
      <w:r>
        <w:rPr>
          <w:b/>
          <w:color w:val="auto"/>
          <w:highlight w:val="none"/>
        </w:rPr>
        <w:fldChar w:fldCharType="end"/>
      </w:r>
      <w:r>
        <w:rPr>
          <w:b/>
          <w:color w:val="auto"/>
          <w:highlight w:val="none"/>
        </w:rPr>
        <w:fldChar w:fldCharType="end"/>
      </w:r>
      <w:r/>
    </w:p>
    <w:p>
      <w:pPr>
        <w:pStyle w:val="1282"/>
        <w:spacing w:line="360" w:lineRule="auto"/>
        <w:widowControl w:val="off"/>
        <w:tabs>
          <w:tab w:val="right" w:pos="9768" w:leader="dot"/>
        </w:tabs>
        <w:rPr>
          <w:b/>
          <w:color w:val="auto"/>
          <w:highlight w:val="none"/>
        </w:rPr>
      </w:pPr>
      <w:r>
        <w:rPr>
          <w:color w:val="auto"/>
          <w:highlight w:val="none"/>
        </w:rPr>
        <w:fldChar w:fldCharType="begin"/>
      </w:r>
      <w:r>
        <w:rPr>
          <w:color w:val="auto"/>
          <w:highlight w:val="none"/>
        </w:rPr>
        <w:instrText xml:space="preserve"> HYPERLINK \l "_Toc21074" </w:instrText>
      </w:r>
      <w:r>
        <w:rPr>
          <w:color w:val="auto"/>
          <w:highlight w:val="none"/>
        </w:rPr>
        <w:fldChar w:fldCharType="separate"/>
      </w:r>
      <w:r>
        <w:rPr>
          <w:rFonts w:hint="eastAsia" w:ascii="黑体" w:hAnsi="黑体" w:eastAsia="黑体" w:cs="黑体"/>
          <w:b/>
          <w:bCs/>
          <w:color w:val="auto"/>
          <w:szCs w:val="32"/>
          <w:highlight w:val="none"/>
        </w:rPr>
        <w:t xml:space="preserve">第四章 </w:t>
      </w:r>
      <w:r>
        <w:rPr>
          <w:rFonts w:hint="eastAsia" w:ascii="黑体" w:hAnsi="黑体" w:eastAsia="黑体" w:cs="黑体"/>
          <w:b/>
          <w:bCs/>
          <w:color w:val="auto"/>
          <w:szCs w:val="32"/>
          <w:highlight w:val="none"/>
          <w:lang w:val="zh-CN"/>
        </w:rPr>
        <w:t xml:space="preserve">招标项目的服务要求和数量等</w:t>
      </w:r>
      <w:r>
        <w:rPr>
          <w:b/>
          <w:color w:val="auto"/>
          <w:highlight w:val="none"/>
        </w:rPr>
        <w:tab/>
      </w:r>
      <w:r>
        <w:rPr>
          <w:b/>
          <w:color w:val="auto"/>
          <w:highlight w:val="none"/>
        </w:rPr>
        <w:fldChar w:fldCharType="begin"/>
      </w:r>
      <w:r>
        <w:rPr>
          <w:b/>
          <w:color w:val="auto"/>
          <w:highlight w:val="none"/>
        </w:rPr>
        <w:instrText xml:space="preserve"> PAGEREF _Toc21074 \h </w:instrText>
      </w:r>
      <w:r>
        <w:rPr>
          <w:b/>
          <w:color w:val="auto"/>
          <w:highlight w:val="none"/>
        </w:rPr>
        <w:fldChar w:fldCharType="separate"/>
      </w:r>
      <w:r>
        <w:rPr>
          <w:b/>
          <w:color w:val="auto"/>
          <w:highlight w:val="none"/>
        </w:rPr>
        <w:t xml:space="preserve">- 24 -</w:t>
      </w:r>
      <w:r>
        <w:rPr>
          <w:b/>
          <w:color w:val="auto"/>
          <w:highlight w:val="none"/>
        </w:rPr>
        <w:fldChar w:fldCharType="end"/>
      </w:r>
      <w:r>
        <w:rPr>
          <w:b/>
          <w:color w:val="auto"/>
          <w:highlight w:val="none"/>
        </w:rPr>
        <w:fldChar w:fldCharType="end"/>
      </w:r>
      <w:r/>
    </w:p>
    <w:p>
      <w:pPr>
        <w:pStyle w:val="1282"/>
        <w:spacing w:line="360" w:lineRule="auto"/>
        <w:widowControl w:val="off"/>
        <w:tabs>
          <w:tab w:val="right" w:pos="9768" w:leader="dot"/>
        </w:tabs>
        <w:rPr>
          <w:b/>
          <w:color w:val="auto"/>
          <w:highlight w:val="none"/>
        </w:rPr>
      </w:pPr>
      <w:r>
        <w:rPr>
          <w:color w:val="auto"/>
          <w:highlight w:val="none"/>
        </w:rPr>
        <w:fldChar w:fldCharType="begin"/>
      </w:r>
      <w:r>
        <w:rPr>
          <w:color w:val="auto"/>
          <w:highlight w:val="none"/>
        </w:rPr>
        <w:instrText xml:space="preserve"> HYPERLINK \l "_Toc16911" </w:instrText>
      </w:r>
      <w:r>
        <w:rPr>
          <w:color w:val="auto"/>
          <w:highlight w:val="none"/>
        </w:rPr>
        <w:fldChar w:fldCharType="separate"/>
      </w:r>
      <w:r>
        <w:rPr>
          <w:rFonts w:hint="eastAsia" w:ascii="黑体" w:hAnsi="黑体" w:eastAsia="黑体" w:cs="黑体"/>
          <w:b/>
          <w:bCs/>
          <w:color w:val="auto"/>
          <w:szCs w:val="32"/>
          <w:highlight w:val="none"/>
          <w:lang w:val="zh-CN"/>
        </w:rPr>
        <w:t xml:space="preserve">第五章 合同主要条款及格式</w:t>
      </w:r>
      <w:r>
        <w:rPr>
          <w:b/>
          <w:color w:val="auto"/>
          <w:highlight w:val="none"/>
        </w:rPr>
        <w:tab/>
      </w:r>
      <w:r>
        <w:rPr>
          <w:b/>
          <w:color w:val="auto"/>
          <w:highlight w:val="none"/>
        </w:rPr>
        <w:fldChar w:fldCharType="begin"/>
      </w:r>
      <w:r>
        <w:rPr>
          <w:b/>
          <w:color w:val="auto"/>
          <w:highlight w:val="none"/>
        </w:rPr>
        <w:instrText xml:space="preserve"> PAGEREF _Toc16911 \h </w:instrText>
      </w:r>
      <w:r>
        <w:rPr>
          <w:b/>
          <w:color w:val="auto"/>
          <w:highlight w:val="none"/>
        </w:rPr>
        <w:fldChar w:fldCharType="separate"/>
      </w:r>
      <w:r>
        <w:rPr>
          <w:b/>
          <w:color w:val="auto"/>
          <w:highlight w:val="none"/>
        </w:rPr>
        <w:t xml:space="preserve">- 33 -</w:t>
      </w:r>
      <w:r>
        <w:rPr>
          <w:b/>
          <w:color w:val="auto"/>
          <w:highlight w:val="none"/>
        </w:rPr>
        <w:fldChar w:fldCharType="end"/>
      </w:r>
      <w:r>
        <w:rPr>
          <w:b/>
          <w:color w:val="auto"/>
          <w:highlight w:val="none"/>
        </w:rPr>
        <w:fldChar w:fldCharType="end"/>
      </w:r>
      <w:r/>
    </w:p>
    <w:p>
      <w:pPr>
        <w:pStyle w:val="1282"/>
        <w:spacing w:line="360" w:lineRule="auto"/>
        <w:widowControl w:val="off"/>
        <w:tabs>
          <w:tab w:val="right" w:pos="9768" w:leader="dot"/>
        </w:tabs>
        <w:rPr>
          <w:color w:val="auto"/>
          <w:highlight w:val="none"/>
        </w:rPr>
      </w:pPr>
      <w:r>
        <w:rPr>
          <w:color w:val="auto"/>
          <w:highlight w:val="none"/>
        </w:rPr>
        <w:fldChar w:fldCharType="begin"/>
      </w:r>
      <w:r>
        <w:rPr>
          <w:color w:val="auto"/>
          <w:highlight w:val="none"/>
        </w:rPr>
        <w:instrText xml:space="preserve"> HYPERLINK \l "_Toc15104" </w:instrText>
      </w:r>
      <w:r>
        <w:rPr>
          <w:color w:val="auto"/>
          <w:highlight w:val="none"/>
        </w:rPr>
        <w:fldChar w:fldCharType="separate"/>
      </w:r>
      <w:r>
        <w:rPr>
          <w:rFonts w:hint="eastAsia" w:ascii="黑体" w:hAnsi="黑体" w:eastAsia="黑体" w:cs="黑体"/>
          <w:b/>
          <w:bCs/>
          <w:color w:val="auto"/>
          <w:szCs w:val="32"/>
          <w:highlight w:val="none"/>
          <w:lang w:val="zh-CN"/>
        </w:rPr>
        <w:t xml:space="preserve">第六章 投标文件格式</w:t>
      </w:r>
      <w:r>
        <w:rPr>
          <w:b/>
          <w:color w:val="auto"/>
          <w:highlight w:val="none"/>
        </w:rPr>
        <w:tab/>
      </w:r>
      <w:r>
        <w:rPr>
          <w:b/>
          <w:color w:val="auto"/>
          <w:highlight w:val="none"/>
        </w:rPr>
        <w:fldChar w:fldCharType="begin"/>
      </w:r>
      <w:r>
        <w:rPr>
          <w:b/>
          <w:color w:val="auto"/>
          <w:highlight w:val="none"/>
        </w:rPr>
        <w:instrText xml:space="preserve"> PAGEREF _Toc15104 \h </w:instrText>
      </w:r>
      <w:r>
        <w:rPr>
          <w:b/>
          <w:color w:val="auto"/>
          <w:highlight w:val="none"/>
        </w:rPr>
        <w:fldChar w:fldCharType="separate"/>
      </w:r>
      <w:r>
        <w:rPr>
          <w:b/>
          <w:color w:val="auto"/>
          <w:highlight w:val="none"/>
        </w:rPr>
        <w:t xml:space="preserve">- 37 -</w:t>
      </w:r>
      <w:r>
        <w:rPr>
          <w:b/>
          <w:color w:val="auto"/>
          <w:highlight w:val="none"/>
        </w:rPr>
        <w:fldChar w:fldCharType="end"/>
      </w:r>
      <w:r>
        <w:rPr>
          <w:b/>
          <w:color w:val="auto"/>
          <w:highlight w:val="none"/>
        </w:rPr>
        <w:fldChar w:fldCharType="end"/>
      </w:r>
      <w:r/>
    </w:p>
    <w:p>
      <w:pPr>
        <w:spacing w:line="360" w:lineRule="auto"/>
        <w:rPr>
          <w:color w:val="auto"/>
          <w:highlight w:val="none"/>
        </w:rPr>
      </w:pPr>
      <w:r>
        <w:rPr>
          <w:b/>
          <w:color w:val="auto"/>
          <w:highlight w:val="none"/>
        </w:rPr>
        <w:fldChar w:fldCharType="end"/>
      </w:r>
      <w:r/>
    </w:p>
    <w:p>
      <w:pPr>
        <w:pStyle w:val="875"/>
        <w:keepLines w:val="0"/>
        <w:keepNext w:val="0"/>
        <w:spacing w:before="0" w:after="0" w:line="360" w:lineRule="auto"/>
        <w:rPr>
          <w:rStyle w:val="938"/>
          <w:rFonts w:ascii="黑体" w:hAnsi="黑体" w:eastAsia="黑体" w:cs="黑体"/>
          <w:b w:val="0"/>
          <w:bCs w:val="0"/>
          <w:color w:val="auto"/>
          <w:sz w:val="32"/>
          <w:szCs w:val="32"/>
          <w:highlight w:val="none"/>
          <w:lang w:val="zh-CN"/>
        </w:rPr>
      </w:pPr>
      <w:r>
        <w:rPr>
          <w:rFonts w:ascii="黑体" w:eastAsia="黑体" w:cs="黑体"/>
          <w:color w:val="auto"/>
          <w:sz w:val="44"/>
          <w:highlight w:val="none"/>
          <w:lang w:val="zh-CN"/>
        </w:rPr>
        <w:br w:type="page" w:clear="all"/>
      </w:r>
      <w:bookmarkStart w:id="0" w:name="_Toc29416"/>
      <w:r>
        <w:rPr>
          <w:rStyle w:val="938"/>
          <w:rFonts w:hint="eastAsia" w:ascii="黑体" w:hAnsi="黑体" w:eastAsia="黑体" w:cs="黑体"/>
          <w:b w:val="0"/>
          <w:bCs w:val="0"/>
          <w:color w:val="auto"/>
          <w:sz w:val="32"/>
          <w:szCs w:val="32"/>
          <w:highlight w:val="none"/>
          <w:lang w:val="zh-CN"/>
        </w:rPr>
        <w:t xml:space="preserve">第一章</w:t>
      </w:r>
      <w:r>
        <w:rPr>
          <w:rStyle w:val="938"/>
          <w:rFonts w:hint="eastAsia" w:ascii="黑体" w:hAnsi="黑体" w:eastAsia="黑体" w:cs="黑体"/>
          <w:b w:val="0"/>
          <w:bCs w:val="0"/>
          <w:color w:val="auto"/>
          <w:sz w:val="32"/>
          <w:szCs w:val="32"/>
          <w:highlight w:val="none"/>
        </w:rPr>
        <w:t xml:space="preserve"> </w:t>
      </w:r>
      <w:r>
        <w:rPr>
          <w:rStyle w:val="938"/>
          <w:rFonts w:hint="eastAsia" w:ascii="黑体" w:hAnsi="黑体" w:eastAsia="黑体" w:cs="黑体"/>
          <w:b w:val="0"/>
          <w:bCs w:val="0"/>
          <w:color w:val="auto"/>
          <w:sz w:val="32"/>
          <w:szCs w:val="32"/>
          <w:highlight w:val="none"/>
          <w:lang w:val="zh-CN"/>
        </w:rPr>
        <w:t xml:space="preserve">投标邀请</w:t>
      </w:r>
      <w:bookmarkEnd w:id="0"/>
      <w:r/>
      <w:r/>
    </w:p>
    <w:p>
      <w:pPr>
        <w:pStyle w:val="875"/>
        <w:ind w:firstLine="422"/>
        <w:jc w:val="left"/>
        <w:keepLines w:val="0"/>
        <w:keepNext w:val="0"/>
        <w:spacing w:before="0" w:after="0" w:line="360" w:lineRule="auto"/>
        <w:rPr>
          <w:rFonts w:ascii="宋体" w:hAnsi="宋体" w:eastAsia="宋体" w:cs="宋体"/>
          <w:b w:val="0"/>
          <w:color w:val="auto"/>
          <w:sz w:val="21"/>
          <w:szCs w:val="21"/>
          <w:highlight w:val="none"/>
        </w:rPr>
      </w:pPr>
      <w:r/>
      <w:bookmarkStart w:id="1" w:name="_Toc18151"/>
      <w:r>
        <w:rPr>
          <w:rFonts w:hint="eastAsia" w:ascii="宋体" w:hAnsi="宋体" w:eastAsia="宋体" w:cs="宋体"/>
          <w:bCs w:val="0"/>
          <w:color w:val="auto"/>
          <w:sz w:val="21"/>
          <w:szCs w:val="21"/>
          <w:highlight w:val="none"/>
        </w:rPr>
        <w:t xml:space="preserve">2026年度秦淮河河道堤防养护项目</w:t>
      </w:r>
      <w:r>
        <w:rPr>
          <w:rFonts w:hint="eastAsia" w:ascii="宋体" w:hAnsi="宋体" w:eastAsia="宋体" w:cs="宋体"/>
          <w:b w:val="0"/>
          <w:color w:val="auto"/>
          <w:sz w:val="21"/>
          <w:szCs w:val="21"/>
          <w:highlight w:val="none"/>
        </w:rPr>
        <w:t xml:space="preserve">的潜在供应商应在</w:t>
      </w:r>
      <w:r>
        <w:rPr>
          <w:rFonts w:hint="eastAsia" w:ascii="宋体" w:hAnsi="宋体" w:eastAsia="宋体" w:cs="宋体"/>
          <w:b w:val="0"/>
          <w:color w:val="auto"/>
          <w:sz w:val="21"/>
          <w:szCs w:val="21"/>
          <w:highlight w:val="none"/>
          <w:u w:val="single"/>
        </w:rPr>
        <w:t xml:space="preserve">线上获取（江苏政府采购网）</w:t>
      </w:r>
      <w:r>
        <w:rPr>
          <w:rFonts w:hint="eastAsia" w:ascii="宋体" w:hAnsi="宋体" w:eastAsia="宋体" w:cs="宋体"/>
          <w:b w:val="0"/>
          <w:color w:val="auto"/>
          <w:sz w:val="21"/>
          <w:szCs w:val="21"/>
          <w:highlight w:val="none"/>
        </w:rPr>
        <w:t xml:space="preserve">获取招标文件，并于</w:t>
      </w:r>
      <w:r>
        <w:rPr>
          <w:rFonts w:hint="eastAsia" w:ascii="宋体" w:hAnsi="宋体" w:eastAsia="宋体" w:cs="宋体"/>
          <w:b w:val="0"/>
          <w:color w:val="auto"/>
          <w:sz w:val="21"/>
          <w:szCs w:val="21"/>
          <w:highlight w:val="none"/>
          <w:u w:val="single"/>
        </w:rPr>
        <w:t xml:space="preserve">2025年</w:t>
      </w:r>
      <w:r>
        <w:rPr>
          <w:rFonts w:hint="eastAsia" w:ascii="宋体" w:hAnsi="宋体" w:eastAsia="宋体" w:cs="宋体"/>
          <w:b w:val="0"/>
          <w:color w:val="auto"/>
          <w:sz w:val="21"/>
          <w:szCs w:val="21"/>
          <w:highlight w:val="none"/>
          <w:u w:val="single"/>
          <w:lang w:val="en-US" w:eastAsia="zh-CN"/>
        </w:rPr>
        <w:t xml:space="preserve">12</w:t>
      </w:r>
      <w:r>
        <w:rPr>
          <w:rFonts w:hint="eastAsia" w:ascii="宋体" w:hAnsi="宋体" w:eastAsia="宋体" w:cs="宋体"/>
          <w:b w:val="0"/>
          <w:color w:val="auto"/>
          <w:sz w:val="21"/>
          <w:szCs w:val="21"/>
          <w:highlight w:val="none"/>
          <w:u w:val="single"/>
        </w:rPr>
        <w:t xml:space="preserve">月 </w:t>
      </w:r>
      <w:r>
        <w:rPr>
          <w:rFonts w:hint="eastAsia" w:ascii="宋体" w:hAnsi="宋体" w:eastAsia="宋体" w:cs="宋体"/>
          <w:b w:val="0"/>
          <w:color w:val="auto"/>
          <w:sz w:val="21"/>
          <w:szCs w:val="21"/>
          <w:highlight w:val="none"/>
          <w:u w:val="single"/>
          <w:lang w:val="en-US" w:eastAsia="zh-CN"/>
        </w:rPr>
        <w:t xml:space="preserve">24</w:t>
      </w:r>
      <w:r>
        <w:rPr>
          <w:rFonts w:hint="eastAsia" w:ascii="宋体" w:hAnsi="宋体" w:eastAsia="宋体" w:cs="宋体"/>
          <w:b w:val="0"/>
          <w:color w:val="auto"/>
          <w:sz w:val="21"/>
          <w:szCs w:val="21"/>
          <w:highlight w:val="none"/>
          <w:u w:val="single"/>
        </w:rPr>
        <w:t xml:space="preserve"> 日9时30分</w:t>
      </w:r>
      <w:r>
        <w:rPr>
          <w:rFonts w:hint="eastAsia" w:ascii="宋体" w:hAnsi="宋体" w:eastAsia="宋体" w:cs="宋体"/>
          <w:b w:val="0"/>
          <w:color w:val="auto"/>
          <w:sz w:val="21"/>
          <w:szCs w:val="21"/>
          <w:highlight w:val="none"/>
        </w:rPr>
        <w:t xml:space="preserve">（北京时间）前提交投标文件。</w:t>
      </w:r>
      <w:bookmarkEnd w:id="1"/>
      <w:r/>
      <w:r/>
    </w:p>
    <w:p>
      <w:pPr>
        <w:pStyle w:val="876"/>
        <w:ind w:firstLine="422"/>
        <w:jc w:val="left"/>
        <w:keepLines w:val="0"/>
        <w:keepNext w:val="0"/>
        <w:spacing w:before="0" w:after="0" w:line="360" w:lineRule="auto"/>
        <w:rPr>
          <w:rFonts w:ascii="宋体" w:hAnsi="宋体" w:eastAsia="宋体" w:cs="宋体"/>
          <w:bCs/>
          <w:color w:val="auto"/>
          <w:sz w:val="21"/>
          <w:szCs w:val="21"/>
          <w:highlight w:val="none"/>
        </w:rPr>
      </w:pPr>
      <w:r/>
      <w:bookmarkStart w:id="2" w:name="_Toc28359012"/>
      <w:r/>
      <w:bookmarkStart w:id="3" w:name="_Toc35393798"/>
      <w:r/>
      <w:bookmarkStart w:id="4" w:name="_Toc22024"/>
      <w:r/>
      <w:bookmarkStart w:id="5" w:name="_Toc35393629"/>
      <w:r/>
      <w:bookmarkStart w:id="6" w:name="_Toc28359089"/>
      <w:r>
        <w:rPr>
          <w:rFonts w:hint="eastAsia" w:ascii="宋体" w:hAnsi="宋体" w:eastAsia="宋体" w:cs="宋体"/>
          <w:bCs/>
          <w:color w:val="auto"/>
          <w:sz w:val="21"/>
          <w:szCs w:val="21"/>
          <w:highlight w:val="none"/>
        </w:rPr>
        <w:t xml:space="preserve">一、项目基本情况</w:t>
      </w:r>
      <w:bookmarkEnd w:id="2"/>
      <w:r/>
      <w:bookmarkEnd w:id="3"/>
      <w:r/>
      <w:bookmarkEnd w:id="4"/>
      <w:r/>
      <w:bookmarkEnd w:id="5"/>
      <w:r/>
      <w:bookmarkEnd w:id="6"/>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JSZC-320100-CJZX-G2025-0008</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项目名称：2026年度秦淮河河道堤防养护项目；</w:t>
      </w:r>
      <w:r/>
    </w:p>
    <w:p>
      <w:pPr>
        <w:pStyle w:val="1084"/>
        <w:ind w:firstLine="420"/>
        <w:widowControl w:val="off"/>
        <w:rPr>
          <w:rFonts w:hAnsi="宋体" w:cs="宋体"/>
          <w:color w:val="auto"/>
          <w:sz w:val="21"/>
          <w:szCs w:val="21"/>
          <w:highlight w:val="none"/>
        </w:rPr>
      </w:pPr>
      <w:r>
        <w:rPr>
          <w:rFonts w:hint="eastAsia" w:hAnsi="宋体" w:cs="宋体"/>
          <w:color w:val="auto"/>
          <w:sz w:val="21"/>
          <w:szCs w:val="21"/>
          <w:highlight w:val="none"/>
        </w:rPr>
        <w:t xml:space="preserve">采购方式：公开招标；</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预算金额：655.53万元；</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最高限价：</w:t>
      </w:r>
      <w:r>
        <w:rPr>
          <w:rFonts w:hint="eastAsia" w:ascii="宋体" w:hAnsi="宋体" w:cs="宋体"/>
          <w:color w:val="auto"/>
          <w:highlight w:val="none"/>
        </w:rPr>
        <w:t xml:space="preserve">包一：204.5万元；包二：217.03万元；包三：180万元;包四：54万元；分包报价超过对应最高限价的为无效投标。</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采购需求：南京市秦淮河河道管理处2025年度秦淮河河道堤防养护项目共分为四个包，分包内容如下：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包一：秦淮河东山大桥（0+000）至运粮河口（8+250）及秦淮新河新老河口（0+000）至河定桥（0+350），总计17.2公里堤防巡查、养护等；</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包二：秦淮新河河定桥（0+350）至红庙桥（8+850），总计17公里堤防巡查、养护等；</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包三：秦淮新河红庙桥（8+850）至秦淮新河节制闸（15+130），总计12.56公里堤防巡查、养护等；</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包四：秦淮新河新老河口（0+000）至秦淮新河节制闸（15+050）和秦淮河东山桥（0+000）至运粮河口（8+250）总计约30.4公里堤防防护林养护及南京市秦淮河河道管理处院内（不含办公区）的防护林养护。</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合同履行期限：12个月。</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本项目不接受联合体。</w:t>
      </w:r>
      <w:r/>
    </w:p>
    <w:p>
      <w:pPr>
        <w:pStyle w:val="876"/>
        <w:ind w:firstLine="422"/>
        <w:jc w:val="left"/>
        <w:keepLines w:val="0"/>
        <w:keepNext w:val="0"/>
        <w:spacing w:before="0" w:after="0" w:line="360" w:lineRule="auto"/>
        <w:rPr>
          <w:rFonts w:ascii="宋体" w:hAnsi="宋体" w:eastAsia="宋体" w:cs="宋体"/>
          <w:bCs/>
          <w:color w:val="auto"/>
          <w:sz w:val="21"/>
          <w:szCs w:val="21"/>
          <w:highlight w:val="none"/>
        </w:rPr>
      </w:pPr>
      <w:r/>
      <w:bookmarkStart w:id="7" w:name="_Toc28359090"/>
      <w:r/>
      <w:bookmarkStart w:id="8" w:name="_Toc28359013"/>
      <w:r/>
      <w:bookmarkStart w:id="9" w:name="_Toc35393630"/>
      <w:r/>
      <w:bookmarkStart w:id="10" w:name="_Toc1847"/>
      <w:r/>
      <w:bookmarkStart w:id="11" w:name="_Toc35393799"/>
      <w:r>
        <w:rPr>
          <w:rFonts w:hint="eastAsia" w:ascii="宋体" w:hAnsi="宋体" w:eastAsia="宋体" w:cs="宋体"/>
          <w:bCs/>
          <w:color w:val="auto"/>
          <w:sz w:val="21"/>
          <w:szCs w:val="21"/>
          <w:highlight w:val="none"/>
        </w:rPr>
        <w:t xml:space="preserve">二、申请人的资格要求：</w:t>
      </w:r>
      <w:bookmarkEnd w:id="7"/>
      <w:r/>
      <w:bookmarkEnd w:id="8"/>
      <w:r/>
      <w:bookmarkEnd w:id="9"/>
      <w:r/>
      <w:bookmarkEnd w:id="10"/>
      <w:r/>
      <w:bookmarkEnd w:id="11"/>
      <w:r/>
      <w:r/>
    </w:p>
    <w:p>
      <w:pPr>
        <w:ind w:firstLine="420"/>
        <w:jc w:val="left"/>
        <w:spacing w:line="360" w:lineRule="auto"/>
        <w:rPr>
          <w:rFonts w:ascii="宋体" w:hAnsi="宋体" w:cs="宋体"/>
          <w:color w:val="auto"/>
          <w:szCs w:val="21"/>
          <w:highlight w:val="none"/>
        </w:rPr>
      </w:pPr>
      <w:r/>
      <w:bookmarkStart w:id="12" w:name="_Toc35393631"/>
      <w:r/>
      <w:bookmarkStart w:id="13" w:name="_Toc35393800"/>
      <w:r/>
      <w:bookmarkStart w:id="14" w:name="_Toc6179"/>
      <w:r/>
      <w:bookmarkStart w:id="15" w:name="_Toc28359014"/>
      <w:r/>
      <w:bookmarkStart w:id="16" w:name="_Toc28359091"/>
      <w:r>
        <w:rPr>
          <w:rFonts w:ascii="宋体" w:hAnsi="宋体" w:cs="宋体"/>
          <w:color w:val="auto"/>
          <w:szCs w:val="21"/>
          <w:highlight w:val="none"/>
        </w:rPr>
        <w:t xml:space="preserve">1.</w:t>
      </w:r>
      <w:r>
        <w:rPr>
          <w:rFonts w:hint="eastAsia" w:ascii="宋体" w:hAnsi="宋体" w:cs="宋体"/>
          <w:color w:val="auto"/>
          <w:szCs w:val="21"/>
          <w:highlight w:val="none"/>
        </w:rPr>
        <w:t xml:space="preserve">满足《中华人民共和国政府采购法》第二十二条规定：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（1）具有独立承担民事责任的能力（提供法人或者其他组织的营业执照，自然人的身份证明）；</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（3）具有履行合同所必需的设备和专业技术能力（根据项目需求提供履行合同所必需的设备和专业技术能力的证明材料）；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（5）参加政府采购活动前三年内，在经营活动中没有重大违法记录（提供参加本次政府采购活动前3年内在经营活动中没有重大违法记录的书面声明）（格式见后附件）；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6</w:t>
      </w:r>
      <w:r>
        <w:rPr>
          <w:rFonts w:hint="eastAsia" w:ascii="宋体" w:hAnsi="宋体" w:cs="宋体"/>
          <w:color w:val="auto"/>
          <w:szCs w:val="21"/>
          <w:highlight w:val="none"/>
        </w:rPr>
        <w:t xml:space="preserve">）法律、行政法规规定的其他条件。</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落实政府采购政策需满足的资格要求：无。</w:t>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t xml:space="preserve">3.本项目的特定资格要求：无</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本项目不接受联合体投标。</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拒绝下述供应商参加本次采购活动：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1</w:t>
      </w:r>
      <w:r>
        <w:rPr>
          <w:rFonts w:hint="eastAsia" w:ascii="宋体" w:hAnsi="宋体" w:cs="宋体"/>
          <w:color w:val="auto"/>
          <w:szCs w:val="21"/>
          <w:highlight w:val="none"/>
        </w:rPr>
        <w:t xml:space="preserve">）供应商单位负责人为同一人或者存在直接控股、管理关系的不同供应商，不得参加同一合同项下的政府采购活动。</w:t>
      </w:r>
      <w:r>
        <w:rPr>
          <w:rFonts w:ascii="宋体" w:hAnsi="宋体" w:cs="宋体"/>
          <w:color w:val="auto"/>
          <w:szCs w:val="21"/>
          <w:highlight w:val="none"/>
        </w:rPr>
        <w:t xml:space="preserve">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2</w:t>
      </w:r>
      <w:r>
        <w:rPr>
          <w:rFonts w:hint="eastAsia" w:ascii="宋体" w:hAnsi="宋体" w:cs="宋体"/>
          <w:color w:val="auto"/>
          <w:szCs w:val="21"/>
          <w:highlight w:val="none"/>
        </w:rPr>
        <w:t xml:space="preserve">）凡为本项目提供整体设计、规范编制或者项目管理、监理、检测等服务的供应商，不得再参加本项目的采购活动。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3</w:t>
      </w:r>
      <w:r>
        <w:rPr>
          <w:rFonts w:hint="eastAsia" w:ascii="宋体" w:hAnsi="宋体" w:cs="宋体"/>
          <w:color w:val="auto"/>
          <w:szCs w:val="21"/>
          <w:highlight w:val="none"/>
        </w:rPr>
        <w:t xml:space="preserve">）拒绝列入失信被执行人、重大税收违法案件当事人名单、政府采购严重违法失信行为记录名单的供应商参与政府采购活动。供应商购通过</w:t>
      </w:r>
      <w:r>
        <w:rPr>
          <w:rFonts w:ascii="宋体" w:hAnsi="宋体" w:cs="宋体"/>
          <w:color w:val="auto"/>
          <w:szCs w:val="21"/>
          <w:highlight w:val="none"/>
        </w:rPr>
        <w:t xml:space="preserve">“</w:t>
      </w:r>
      <w:r>
        <w:rPr>
          <w:rFonts w:hint="eastAsia" w:ascii="宋体" w:hAnsi="宋体" w:cs="宋体"/>
          <w:color w:val="auto"/>
          <w:szCs w:val="21"/>
          <w:highlight w:val="none"/>
        </w:rPr>
        <w:t xml:space="preserve">信用中国</w:t>
      </w:r>
      <w:r>
        <w:rPr>
          <w:rFonts w:ascii="宋体" w:hAnsi="宋体" w:cs="宋体"/>
          <w:color w:val="auto"/>
          <w:szCs w:val="21"/>
          <w:highlight w:val="none"/>
        </w:rPr>
        <w:t xml:space="preserve">”</w:t>
      </w:r>
      <w:r>
        <w:rPr>
          <w:rFonts w:hint="eastAsia" w:ascii="宋体" w:hAnsi="宋体" w:cs="宋体"/>
          <w:color w:val="auto"/>
          <w:szCs w:val="21"/>
          <w:highlight w:val="none"/>
        </w:rPr>
        <w:t xml:space="preserve">网站</w:t>
      </w:r>
      <w:r>
        <w:rPr>
          <w:rFonts w:ascii="宋体" w:hAnsi="宋体" w:cs="宋体"/>
          <w:color w:val="auto"/>
          <w:szCs w:val="21"/>
          <w:highlight w:val="none"/>
        </w:rPr>
        <w:t xml:space="preserve">(www.creditchina.gov.cn)</w:t>
      </w:r>
      <w:r>
        <w:rPr>
          <w:rFonts w:hint="eastAsia" w:ascii="宋体" w:hAnsi="宋体" w:cs="宋体"/>
          <w:color w:val="auto"/>
          <w:szCs w:val="21"/>
          <w:highlight w:val="none"/>
        </w:rPr>
        <w:t xml:space="preserve">、</w:t>
      </w:r>
      <w:r>
        <w:rPr>
          <w:rFonts w:ascii="宋体" w:hAnsi="宋体" w:cs="宋体"/>
          <w:color w:val="auto"/>
          <w:szCs w:val="21"/>
          <w:highlight w:val="none"/>
        </w:rPr>
        <w:t xml:space="preserve">“</w:t>
      </w:r>
      <w:r>
        <w:rPr>
          <w:rFonts w:hint="eastAsia" w:ascii="宋体" w:hAnsi="宋体" w:cs="宋体"/>
          <w:color w:val="auto"/>
          <w:szCs w:val="21"/>
          <w:highlight w:val="none"/>
        </w:rPr>
        <w:t xml:space="preserve">中国政府采购网</w:t>
      </w:r>
      <w:r>
        <w:rPr>
          <w:rFonts w:ascii="宋体" w:hAnsi="宋体" w:cs="宋体"/>
          <w:color w:val="auto"/>
          <w:szCs w:val="21"/>
          <w:highlight w:val="none"/>
        </w:rPr>
        <w:t xml:space="preserve">”(www.ccgp.gov.cn)</w:t>
      </w:r>
      <w:r>
        <w:rPr>
          <w:rFonts w:hint="eastAsia" w:ascii="宋体" w:hAnsi="宋体" w:cs="宋体"/>
          <w:color w:val="auto"/>
          <w:szCs w:val="21"/>
          <w:highlight w:val="none"/>
        </w:rPr>
        <w:t xml:space="preserve">等渠道查询供应商信用记录并保存编制在投标文件中。</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4</w:t>
      </w:r>
      <w:r>
        <w:rPr>
          <w:rFonts w:hint="eastAsia" w:ascii="宋体" w:hAnsi="宋体" w:cs="宋体"/>
          <w:color w:val="auto"/>
          <w:szCs w:val="21"/>
          <w:highlight w:val="none"/>
        </w:rPr>
        <w:t xml:space="preserve">）供应商未提供</w:t>
      </w:r>
      <w:r>
        <w:rPr>
          <w:rFonts w:hint="eastAsia" w:ascii="宋体" w:hAnsi="宋体" w:cs="宋体"/>
          <w:color w:val="auto"/>
          <w:szCs w:val="21"/>
          <w:highlight w:val="none"/>
        </w:rPr>
        <w:t xml:space="preserve">《南京市政府采购供应商信用记录表暨信用承诺书》</w:t>
      </w:r>
      <w:r>
        <w:rPr>
          <w:rFonts w:hint="eastAsia" w:ascii="宋体" w:hAnsi="宋体" w:cs="宋体"/>
          <w:color w:val="auto"/>
          <w:szCs w:val="21"/>
          <w:highlight w:val="none"/>
        </w:rPr>
        <w:t xml:space="preserve">。</w:t>
      </w:r>
      <w:bookmarkEnd w:id="12"/>
      <w:r/>
      <w:bookmarkEnd w:id="13"/>
      <w:r/>
      <w:bookmarkEnd w:id="14"/>
      <w:r/>
      <w:bookmarkEnd w:id="15"/>
      <w:r/>
      <w:bookmarkEnd w:id="16"/>
      <w:r/>
      <w:r/>
    </w:p>
    <w:p>
      <w:pPr>
        <w:ind w:firstLine="420"/>
        <w:jc w:val="left"/>
        <w:spacing w:line="360" w:lineRule="auto"/>
        <w:rPr>
          <w:rFonts w:ascii="宋体" w:hAnsi="宋体" w:cs="宋体"/>
          <w:color w:val="auto"/>
          <w:szCs w:val="21"/>
          <w:highlight w:val="none"/>
        </w:rPr>
      </w:pPr>
      <w:r/>
      <w:bookmarkStart w:id="17" w:name="OLE_LINK10"/>
      <w:r/>
      <w:bookmarkStart w:id="18" w:name="OLE_LINK9"/>
      <w:r>
        <w:rPr>
          <w:rFonts w:hint="eastAsia" w:ascii="宋体" w:hAnsi="宋体" w:cs="宋体"/>
          <w:color w:val="auto"/>
          <w:szCs w:val="21"/>
          <w:highlight w:val="none"/>
        </w:rPr>
        <w:t xml:space="preserve">三、获取招标文件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时间：自招标文件公告发布之日起5个工作日。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地点：江苏政府采购网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方式：自行下载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售价：0.00元 </w:t>
      </w:r>
      <w:r/>
    </w:p>
    <w:p>
      <w:pPr>
        <w:numPr>
          <w:ilvl w:val="0"/>
          <w:numId w:val="1"/>
        </w:num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投标文件提交</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2025年</w:t>
      </w:r>
      <w:r>
        <w:rPr>
          <w:rFonts w:hint="eastAsia" w:ascii="宋体" w:hAnsi="宋体" w:cs="宋体"/>
          <w:bCs/>
          <w:color w:val="auto"/>
          <w:szCs w:val="21"/>
          <w:highlight w:val="none"/>
          <w:lang w:val="en-US" w:eastAsia="zh-CN"/>
        </w:rPr>
        <w:t xml:space="preserve">12</w:t>
      </w:r>
      <w:r>
        <w:rPr>
          <w:rFonts w:hint="eastAsia" w:ascii="宋体" w:hAnsi="宋体" w:cs="宋体"/>
          <w:bCs/>
          <w:color w:val="auto"/>
          <w:szCs w:val="21"/>
          <w:highlight w:val="none"/>
        </w:rPr>
        <w:t xml:space="preserve">月 </w:t>
      </w:r>
      <w:r>
        <w:rPr>
          <w:rFonts w:hint="eastAsia" w:ascii="宋体" w:hAnsi="宋体" w:cs="宋体"/>
          <w:bCs/>
          <w:color w:val="auto"/>
          <w:szCs w:val="21"/>
          <w:highlight w:val="none"/>
          <w:lang w:val="en-US" w:eastAsia="zh-CN"/>
        </w:rPr>
        <w:t xml:space="preserve">24</w:t>
      </w:r>
      <w:r>
        <w:rPr>
          <w:rFonts w:hint="eastAsia" w:ascii="宋体" w:hAnsi="宋体" w:cs="宋体"/>
          <w:bCs/>
          <w:color w:val="auto"/>
          <w:szCs w:val="21"/>
          <w:highlight w:val="none"/>
        </w:rPr>
        <w:t xml:space="preserve"> 日9时30分</w:t>
      </w:r>
      <w:r/>
    </w:p>
    <w:p>
      <w:pPr>
        <w:ind w:firstLine="420"/>
        <w:jc w:val="left"/>
        <w:spacing w:line="360" w:lineRule="auto"/>
        <w:rPr>
          <w:color w:val="auto"/>
          <w:szCs w:val="21"/>
          <w:highlight w:val="none"/>
        </w:rPr>
      </w:pPr>
      <w:r>
        <w:rPr>
          <w:color w:val="auto"/>
          <w:szCs w:val="21"/>
          <w:highlight w:val="none"/>
        </w:rPr>
        <w:t xml:space="preserve">地点：</w:t>
      </w:r>
      <w:r>
        <w:rPr>
          <w:rFonts w:hint="eastAsia" w:ascii="宋体" w:hAnsi="宋体" w:cs="宋体"/>
          <w:bCs/>
          <w:color w:val="auto"/>
          <w:szCs w:val="21"/>
          <w:highlight w:val="none"/>
        </w:rPr>
        <w:t xml:space="preserve">江苏省政府采购交易系统（以下简称“苏采云系统”）</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五、公告期限</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自招标文件公告发布之日起5个工作日</w:t>
      </w:r>
      <w:r>
        <w:rPr>
          <w:rFonts w:hint="eastAsia" w:ascii="宋体" w:hAnsi="宋体" w:cs="宋体"/>
          <w:bCs/>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六、其他补充事宜</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6.1集中现场考察或答疑：采购人不统一组织现场答疑，各潜在供应商必须在获取采购文件后自行踏勘现场，并承担相关费用和责任。请潜在供应商务必对采购文件进行仔细认真阅读，在随后的采购中，对采购文件所作出的推论、解释和结论及由此造成的后果由各潜在供应商负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6.2潜在供应商访问政府采购管理交易系统（苏采云）的网络地址和方法：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（3）“CA数字证书”的办理材料以及供应商操作手册详见：http://jsxcmm.com/help/gys.html。</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（4）潜在供应商访问“苏采云”系统的网络地址和方法：“苏采云”系统的网址：http://jszfcg.jsczt.cn/jszc/login。</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（6）招标代理机构（采购代理机构）将数据电文形式的采购文件加载至“苏采云”系统，供潜在供应商下载或者查阅。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（7）苏采云系统使用谷歌浏览器参与不见面开标。</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6.4、政府采购信用承诺：“根据《关于在政府采购活动中推行信用承诺制的通知》宁财购通〔2021〕5号规定，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h.com/）‘南</w:t>
      </w:r>
      <w:r>
        <w:rPr>
          <w:rFonts w:hint="eastAsia" w:ascii="宋体" w:hAnsi="宋体" w:cs="宋体"/>
          <w:color w:val="auto"/>
          <w:szCs w:val="21"/>
          <w:highlight w:val="none"/>
        </w:rPr>
        <w:t xml:space="preserve">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上传至电子响应文件中，未按要求提供信用记录表的或提供不满足要求的，响应文件将被按无效投标处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在政府采购资格审查环节，供应商只需提供书面《南京市政府采购供应商信用记录表暨信用承诺书》，即可替代以下证明材料：</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（1）符合国家相关规定的财务状况报告；</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（2）依法缴纳税收的证明材料；</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（3）依法缴纳社会保障资金的证明材料；</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（4）具备履行政府采购合同所必需的设备和专业技术能力的证明材料；</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（5）参加政府采购活动前三年内在经营活动中没有重大违法记录的证明材料；</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（6）未被列入失信被执行人、重大税收违法失信主体、政府采购严重违法失信行为记录名单的证明材料。</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供应商涉及以下情形的，不适用信用承诺，仍须提供上述证明材料：</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（1）供应商被列入严重失信主体名单；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（2）被相关监管部门作出行政处罚且尚在处罚有效期内；</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（3）其他法律、行政法规规定的不适用信用承诺的情形。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供应商对信用承诺内容的真实性、合法性、有效性负责。如作出虚假信用承诺，视同为“提供虚假材料谋取中标、成交”的违法行为。 </w:t>
      </w:r>
      <w:bookmarkEnd w:id="17"/>
      <w:r/>
      <w:bookmarkEnd w:id="18"/>
      <w:r/>
      <w:r/>
    </w:p>
    <w:p>
      <w:pPr>
        <w:pStyle w:val="876"/>
        <w:ind w:firstLine="422"/>
        <w:jc w:val="left"/>
        <w:keepLines w:val="0"/>
        <w:keepNext w:val="0"/>
        <w:spacing w:before="0" w:after="0" w:line="360" w:lineRule="auto"/>
        <w:rPr>
          <w:rFonts w:ascii="宋体" w:hAnsi="宋体" w:eastAsia="宋体" w:cs="宋体"/>
          <w:bCs/>
          <w:color w:val="auto"/>
          <w:sz w:val="21"/>
          <w:szCs w:val="21"/>
          <w:highlight w:val="none"/>
        </w:rPr>
      </w:pPr>
      <w:r/>
      <w:bookmarkStart w:id="19" w:name="_Toc31159"/>
      <w:r>
        <w:rPr>
          <w:rFonts w:hint="eastAsia" w:ascii="宋体" w:hAnsi="宋体" w:eastAsia="宋体" w:cs="宋体"/>
          <w:bCs/>
          <w:color w:val="auto"/>
          <w:sz w:val="21"/>
          <w:szCs w:val="21"/>
          <w:highlight w:val="none"/>
        </w:rPr>
        <w:t xml:space="preserve">八、凡对本次采购提出询问，请按以下方式联系</w:t>
      </w:r>
      <w:bookmarkEnd w:id="19"/>
      <w:r/>
      <w:r/>
    </w:p>
    <w:p>
      <w:pPr>
        <w:ind w:firstLine="482"/>
        <w:spacing w:line="360" w:lineRule="auto"/>
        <w:rPr>
          <w:rFonts w:ascii="宋体" w:hAnsi="宋体"/>
          <w:bCs/>
          <w:color w:val="auto"/>
          <w:highlight w:val="none"/>
        </w:rPr>
      </w:pPr>
      <w:r/>
      <w:bookmarkStart w:id="20" w:name="_Toc2349"/>
      <w:r>
        <w:rPr>
          <w:rFonts w:hint="eastAsia" w:ascii="宋体" w:hAnsi="宋体"/>
          <w:bCs/>
          <w:color w:val="auto"/>
          <w:highlight w:val="none"/>
        </w:rPr>
        <w:t xml:space="preserve">　1.采购人信息</w:t>
      </w:r>
      <w:r/>
    </w:p>
    <w:p>
      <w:pPr>
        <w:ind w:firstLine="482"/>
        <w:spacing w:line="360" w:lineRule="auto"/>
        <w:rPr>
          <w:rFonts w:ascii="宋体" w:hAnsi="宋体"/>
          <w:bCs/>
          <w:color w:val="auto"/>
          <w:highlight w:val="none"/>
        </w:rPr>
      </w:pPr>
      <w:r>
        <w:rPr>
          <w:rFonts w:hint="eastAsia" w:ascii="宋体" w:hAnsi="宋体"/>
          <w:bCs/>
          <w:color w:val="auto"/>
          <w:highlight w:val="none"/>
        </w:rPr>
        <w:t xml:space="preserve">名 称： 南京市秦淮河河道管理处　　</w:t>
      </w:r>
      <w:r/>
    </w:p>
    <w:p>
      <w:pPr>
        <w:ind w:firstLine="482"/>
        <w:spacing w:line="360" w:lineRule="auto"/>
        <w:rPr>
          <w:rFonts w:ascii="宋体" w:hAnsi="宋体"/>
          <w:bCs/>
          <w:color w:val="auto"/>
          <w:highlight w:val="none"/>
        </w:rPr>
      </w:pPr>
      <w:r>
        <w:rPr>
          <w:rFonts w:hint="eastAsia" w:ascii="宋体" w:hAnsi="宋体"/>
          <w:bCs/>
          <w:color w:val="auto"/>
          <w:highlight w:val="none"/>
        </w:rPr>
        <w:t xml:space="preserve">地 址： 南京市铁心桥大街85号</w:t>
      </w:r>
      <w:r/>
    </w:p>
    <w:p>
      <w:pPr>
        <w:ind w:firstLine="482"/>
        <w:spacing w:line="360" w:lineRule="auto"/>
        <w:rPr>
          <w:rFonts w:ascii="宋体" w:hAnsi="宋体"/>
          <w:bCs/>
          <w:color w:val="auto"/>
          <w:highlight w:val="none"/>
        </w:rPr>
      </w:pPr>
      <w:r>
        <w:rPr>
          <w:rFonts w:hint="eastAsia" w:ascii="宋体" w:hAnsi="宋体"/>
          <w:bCs/>
          <w:color w:val="auto"/>
          <w:highlight w:val="none"/>
        </w:rPr>
        <w:t xml:space="preserve">联系方式： </w:t>
      </w:r>
      <w:r>
        <w:rPr>
          <w:rFonts w:hint="eastAsia" w:ascii="宋体" w:hAnsi="宋体" w:cs="宋体"/>
          <w:color w:val="auto"/>
          <w:szCs w:val="21"/>
          <w:highlight w:val="none"/>
        </w:rPr>
        <w:t xml:space="preserve">刘工025-68727109</w:t>
      </w:r>
      <w:r/>
    </w:p>
    <w:p>
      <w:pPr>
        <w:ind w:firstLine="482"/>
        <w:spacing w:line="360" w:lineRule="auto"/>
        <w:rPr>
          <w:rFonts w:ascii="宋体" w:hAnsi="宋体"/>
          <w:bCs/>
          <w:color w:val="auto"/>
          <w:highlight w:val="none"/>
        </w:rPr>
      </w:pPr>
      <w:r>
        <w:rPr>
          <w:rFonts w:ascii="宋体" w:hAnsi="宋体"/>
          <w:bCs/>
          <w:color w:val="auto"/>
          <w:highlight w:val="none"/>
        </w:rPr>
        <w:t xml:space="preserve">2.采购代理机构信息</w:t>
      </w:r>
      <w:bookmarkEnd w:id="20"/>
      <w:r/>
      <w:r/>
    </w:p>
    <w:p>
      <w:pPr>
        <w:ind w:firstLine="482"/>
        <w:spacing w:line="360" w:lineRule="auto"/>
        <w:rPr>
          <w:rFonts w:ascii="宋体" w:hAnsi="宋体"/>
          <w:bCs/>
          <w:color w:val="auto"/>
          <w:highlight w:val="none"/>
        </w:rPr>
      </w:pPr>
      <w:r>
        <w:rPr>
          <w:rFonts w:hint="eastAsia" w:ascii="宋体" w:hAnsi="宋体"/>
          <w:bCs/>
          <w:color w:val="auto"/>
          <w:highlight w:val="none"/>
        </w:rPr>
        <w:t xml:space="preserve">名 称：江苏程杰工程咨询有限公司　</w:t>
      </w:r>
      <w:r/>
    </w:p>
    <w:p>
      <w:pPr>
        <w:ind w:firstLine="482"/>
        <w:spacing w:line="360" w:lineRule="auto"/>
        <w:rPr>
          <w:rFonts w:ascii="宋体" w:hAnsi="宋体"/>
          <w:bCs/>
          <w:color w:val="auto"/>
          <w:highlight w:val="none"/>
        </w:rPr>
      </w:pPr>
      <w:r>
        <w:rPr>
          <w:rFonts w:hint="eastAsia" w:ascii="宋体" w:hAnsi="宋体"/>
          <w:bCs/>
          <w:color w:val="auto"/>
          <w:highlight w:val="none"/>
        </w:rPr>
        <w:t xml:space="preserve">地　址：南京市建邺区河西万达广场B座13楼1308室</w:t>
      </w:r>
      <w:r/>
    </w:p>
    <w:p>
      <w:pPr>
        <w:ind w:firstLine="482"/>
        <w:spacing w:line="360" w:lineRule="auto"/>
        <w:rPr>
          <w:rFonts w:ascii="宋体" w:hAnsi="宋体"/>
          <w:bCs/>
          <w:color w:val="auto"/>
          <w:highlight w:val="none"/>
        </w:rPr>
      </w:pPr>
      <w:r>
        <w:rPr>
          <w:rFonts w:hint="eastAsia" w:ascii="宋体" w:hAnsi="宋体"/>
          <w:bCs/>
          <w:color w:val="auto"/>
          <w:highlight w:val="none"/>
        </w:rPr>
        <w:t xml:space="preserve">联系方式：18994090214</w:t>
      </w:r>
      <w:r/>
    </w:p>
    <w:p>
      <w:pPr>
        <w:ind w:firstLine="482"/>
        <w:spacing w:line="360" w:lineRule="auto"/>
        <w:rPr>
          <w:rFonts w:ascii="宋体" w:hAnsi="宋体"/>
          <w:bCs/>
          <w:color w:val="auto"/>
          <w:highlight w:val="none"/>
        </w:rPr>
      </w:pPr>
      <w:r>
        <w:rPr>
          <w:rFonts w:hint="eastAsia" w:ascii="宋体" w:hAnsi="宋体"/>
          <w:bCs/>
          <w:color w:val="auto"/>
          <w:highlight w:val="none"/>
        </w:rPr>
        <w:t xml:space="preserve">3.项目联系方式</w:t>
      </w:r>
      <w:r/>
    </w:p>
    <w:p>
      <w:pPr>
        <w:ind w:firstLine="482"/>
        <w:spacing w:line="360" w:lineRule="auto"/>
        <w:rPr>
          <w:rFonts w:ascii="宋体" w:hAnsi="宋体"/>
          <w:bCs/>
          <w:color w:val="auto"/>
          <w:highlight w:val="none"/>
        </w:rPr>
      </w:pPr>
      <w:r>
        <w:rPr>
          <w:rFonts w:hint="eastAsia" w:ascii="宋体" w:hAnsi="宋体"/>
          <w:bCs/>
          <w:color w:val="auto"/>
          <w:highlight w:val="none"/>
        </w:rPr>
        <w:t xml:space="preserve">项目联系人：赵工</w:t>
      </w:r>
      <w:r/>
    </w:p>
    <w:p>
      <w:pPr>
        <w:ind w:firstLine="482"/>
        <w:spacing w:line="360" w:lineRule="auto"/>
        <w:rPr>
          <w:rFonts w:ascii="宋体" w:hAnsi="宋体"/>
          <w:bCs/>
          <w:color w:val="auto"/>
          <w:highlight w:val="none"/>
        </w:rPr>
      </w:pPr>
      <w:r>
        <w:rPr>
          <w:rFonts w:hint="eastAsia" w:ascii="宋体" w:hAnsi="宋体"/>
          <w:bCs/>
          <w:color w:val="auto"/>
          <w:highlight w:val="none"/>
        </w:rPr>
        <w:t xml:space="preserve">电　话：18994090214</w:t>
      </w:r>
      <w:r/>
    </w:p>
    <w:p>
      <w:pPr>
        <w:pStyle w:val="875"/>
        <w:keepLines w:val="0"/>
        <w:keepNext w:val="0"/>
        <w:pageBreakBefore/>
        <w:spacing w:before="0" w:after="0" w:line="360" w:lineRule="auto"/>
        <w:rPr>
          <w:rStyle w:val="938"/>
          <w:rFonts w:ascii="黑体" w:hAnsi="黑体" w:eastAsia="黑体" w:cs="黑体"/>
          <w:b w:val="0"/>
          <w:bCs w:val="0"/>
          <w:color w:val="auto"/>
          <w:sz w:val="32"/>
          <w:szCs w:val="32"/>
          <w:highlight w:val="none"/>
          <w:lang w:val="zh-CN"/>
        </w:rPr>
      </w:pPr>
      <w:r/>
      <w:bookmarkStart w:id="21" w:name="_Toc15304"/>
      <w:r>
        <w:rPr>
          <w:rStyle w:val="938"/>
          <w:rFonts w:hint="eastAsia" w:ascii="黑体" w:hAnsi="黑体" w:eastAsia="黑体" w:cs="黑体"/>
          <w:b w:val="0"/>
          <w:bCs w:val="0"/>
          <w:color w:val="auto"/>
          <w:sz w:val="32"/>
          <w:szCs w:val="32"/>
          <w:highlight w:val="none"/>
          <w:lang w:val="zh-CN"/>
        </w:rPr>
        <w:t xml:space="preserve">第二章 供应商须知</w:t>
      </w:r>
      <w:bookmarkEnd w:id="21"/>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一、总则</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1.招标方式</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1.1 本次招标采取公开招标方式，本招标文件仅适用于招标公告中所述项目。</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2.合格的供应商　</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2.1 满足招标公告对供应商的资格要求的规定。</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2.2 满足本文件规定的实质性要求和条件。</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3.适用法律</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3.1 本次招标及由此产生的合同受中华人民共和国有关的法律法规制约和保护。</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4.投标费用</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4.1 供应商应自行承担所有与参加投标有关的费用，无论投标过程中的做法和结果如何，采购人在任何情况下均无义务和责任承担这些费用。</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4.2 本次招标的</w:t>
      </w:r>
      <w:r>
        <w:rPr>
          <w:rFonts w:hint="eastAsia" w:ascii="宋体" w:hAnsi="宋体" w:cs="宋体"/>
          <w:color w:val="auto"/>
          <w:highlight w:val="none"/>
        </w:rPr>
        <w:t xml:space="preserve">各分包</w:t>
      </w:r>
      <w:r>
        <w:rPr>
          <w:rFonts w:hint="eastAsia" w:ascii="宋体" w:hAnsi="宋体" w:cs="宋体"/>
          <w:color w:val="auto"/>
          <w:highlight w:val="none"/>
          <w:lang w:val="zh-CN"/>
        </w:rPr>
        <w:t xml:space="preserve">中标服务费由供应商在领取中标通知书时一次性支付给招标代理机构。按照计价格[2002]1980号文件所列收费标准的</w:t>
      </w:r>
      <w:r>
        <w:rPr>
          <w:rFonts w:hint="eastAsia" w:ascii="宋体" w:hAnsi="宋体" w:cs="宋体"/>
          <w:color w:val="auto"/>
          <w:highlight w:val="none"/>
        </w:rPr>
        <w:t xml:space="preserve">65</w:t>
      </w:r>
      <w:r>
        <w:rPr>
          <w:rFonts w:hint="eastAsia" w:ascii="宋体" w:hAnsi="宋体" w:cs="宋体"/>
          <w:color w:val="auto"/>
          <w:highlight w:val="none"/>
          <w:lang w:val="zh-CN"/>
        </w:rPr>
        <w:t xml:space="preserve">%收取，无论是否单列均包含在投标报价中。</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5.招标文件的约束力</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5.1 供应商　一旦参加本项目采购活动，即被认为接受了本招标文件的规定和约束。</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二、招标文件</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6.招标文件构成</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6.1 招标文件由以下部分组成：</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（1）投标邀请</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（2）供应商　须知</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（3）合同文本</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（4）采购需求</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（5）评标方法与评标标准</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（6）投标文件格式</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供应商应仔细检查招标文件是否齐全，如有缺漏请立即与机构联系。</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6.2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7. 招标文件的澄清、修改</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7.1 采购人或对已发出的招标文件进行必要澄清或者修改的，将在招标文件要求提交投标文件截止时间15日前，在原招标公告媒体发布更正公告，该澄清或者修改的内容为招标文件的组成部分。</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7.2 在招标文件要求提交投标文件截止时间前，有权决定延长投标截止日期和开标日期，并在原采购信息发布媒体上发布变更公告。</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7.3 供应商应在投标截止时间前，关注原公告媒体有关本项目的更正公告，根据更正公告内容自行决定是否需要重新制作和提交投标文件，并承担由此产生的相应责任。</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三、投标文件的编制</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8.投标文件的语言及度量衡单位</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8.1 供应商提交的投标文件以及供应商与机构就有关投标的所有来往通知、函件和文件均应使用简体中文。</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8.2 除技术性能另有规定外，投标文件所使用的度量衡单位，均须采用国家法定计量单位。</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9.投标文件构成</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9.1 供应商编写的投标文件应包括资格证明文件、符合性证明文件、投标分项报价表、响应及偏离表、其他证明文件、投标函、开标一览表等部分。</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9.2 如标书制作工具中格式和内容与“江苏政府采购网”发布的招标文件不一致，以“江苏政府采购网”发布的招标文件为准。</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10.证明供应商及投标标的符合招标文件规定的文件</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10.1 供应商应按照法律、法规、规章和规范性文件以及招标文件要求提交证明文件，证明其投标标的符合招标文件规定。</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10.2 招标文件对证明文件无明确形式要求的，证明文件可以以文字资料、图纸和数据等形式提交。</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11.投标分项报价表</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11.1 供应商　应按照招标文件规定格式填报投标分项报价表。</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11.2 投标货币。投标文件中的单价和总价无特殊规定的采用人民币报价，以元为单位标注。招标文件中另有规定的按规定执行。</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12.响应及偏离表</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12.1 供应商　需对招标文件中的技术要求与商务要求逐项作出响应或偏离说明。</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12.2 供应商可以在投标文件中提供认为需要的其他技术文件或说明。</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13.投标函和开标一览表及核心产品品牌一览表（如有）</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13.1 供应商应按照招标文件规定格式完整、正确填报投标函、开标一览表。</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13.2 对于采用货币报价的项目，开标一览表中的投标总报价应与投标分项报价表中的投标总报价一致，如不一致不作为无效投标处理，评标时以开标一览表中价格为准。</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14.投标有效期</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14.1 投标有效期为招标公告规定的开标之日起六十天。投标有效期比规定短的将被视为未实质性响应招标文件而被拒绝。</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15.投标有效期的延长</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15.1 在特殊情况下，于原投标有效期满之前，可向供应商　提出延长投标有效期的要求。这种要求与答复均应采用书面形式。供应商　可以拒绝这一要求而放弃投标。同意延长投标有效期的供应商　既不能要求也不允许修改其投标文件，同时受投标有效期约束的所有权利与义务均延长至新的有效期满。</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四、投标文件的递交</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17.投标文件的递交</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17.1 供应商应当按照《操作手册》规定，在招标公告规定的投标截止时间前制作并上传电子投标文件。</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17.2 供应商应充分考虑网络环境、网络带宽等因素可能对投标产生的影响，如因供应商自身原因造成的电子投标文件上传不成功的，按照本招标文件第二章第2.1条规定做无效投标处理。</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17.3采购人可以按照规定，通过修改招标文件酌情延长投标截止时间，在此情况下，供应商　的所有权利和义务均以延长后新的截止时间为准。</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18.投标文件的拒收</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18.1 投标截止时间后上传的任何投标文件将被拒绝。</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19.投标文件的撤回和修改</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19.1 投标文件的撤回</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19.1.1供应商可在投标截止时间前撤回其电子投标文件，具体操作方法见《操作手册》。</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19.1.2供应商撤回电子投标文件，则认为其不再参与本项目投标活动。</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19.2 投标文件的修改</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19.2.1供应商可在投标截止时间前对其电子投标文件进行修改，具体操作方法见《操作手册》。</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19.2.2投标截止时间之后，供应商　不得对其电子投标文件作任何修改。</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19.2.3 在投标截止时间至招标文件中规定的投标有效期满之间的这段时间内，供应商　不得撤回其投标。</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五、开标与评标</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20.开标</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20.1 采购人在招标公告中规定的时间和地点组织公开开标。供应商　按照《操作手册》规定参加开标活动，并在苏采云系统规定的时间内对投标文件进行解密。苏采云系统公布各供应商　名称和投标价格。</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20.2.供应商在开标过程中涉及到的投标文件解密、开标结果确认等工作，应按照《操作手册》规定执行。</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20.3.供应商如果对开标过程和开标结果有疑义，应当根据《操作手册》规定提出，苏采云系统中《开标记录表》公布后5分钟内未提出的，视同认可开标结果。</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21.评标</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21.1 评标由组织评标委员会（以下简称“评委会”）进行。</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21.2 评委会由采购人代表和有关技术、经济等方面的专家组成，且人员构成符合政府采购有关规定。</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21.3 评委会独立工作，负责评审所有投标文件并推荐中标候选人，或根据采购人授权直接确定供应商。</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22.评标过程的保密与公正</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22.1 凡是与审查、澄清、评价和比较投标的有关资料以及投标建议等，采购人、评委、均不得向供应商　或与评标无关的其他人员透露。</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22.2 供应商　不得以任何方式影响评标，否则其投标文件将被作为无效投标文件。</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22.3 采购人和评委会不向未中标的供应商　解释未中标原因，也不公布评标过程中的相关细节。</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22.4 采用综合评分法的项目，未中标的供应商　可于中标结果公告期限届满之日起通过苏采云系统查看本单位的评审得分及排名情况。</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22.2.5 </w:t>
      </w:r>
      <w:r>
        <w:rPr>
          <w:rFonts w:hint="eastAsia" w:ascii="宋体" w:hAnsi="宋体" w:cs="宋体"/>
          <w:b/>
          <w:color w:val="auto"/>
          <w:szCs w:val="21"/>
          <w:highlight w:val="none"/>
        </w:rPr>
        <w:t xml:space="preserve">政府采购异常低价审查：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1）评审过程中出现下列情形之一的，</w:t>
      </w:r>
      <w:r>
        <w:rPr>
          <w:rFonts w:hint="eastAsia" w:ascii="宋体" w:hAnsi="宋体"/>
          <w:bCs/>
          <w:color w:val="auto"/>
          <w:szCs w:val="21"/>
          <w:highlight w:val="none"/>
        </w:rPr>
        <w:t xml:space="preserve">评审小组</w:t>
      </w:r>
      <w:r>
        <w:rPr>
          <w:rFonts w:hint="eastAsia" w:ascii="宋体" w:hAnsi="宋体" w:cs="宋体"/>
          <w:color w:val="auto"/>
          <w:szCs w:val="21"/>
          <w:highlight w:val="none"/>
        </w:rPr>
        <w:t xml:space="preserve">应当启动异常低价投标审查程序：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①响应报价低于采购项目预算50%的，即响应报价&lt;采购项目预算×50%；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②响应报价低于采购项目最高限价45%的，即响应报价&lt;采购项目最高限价×45%；</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③</w:t>
      </w:r>
      <w:r>
        <w:rPr>
          <w:rFonts w:hint="eastAsia" w:ascii="宋体" w:hAnsi="宋体"/>
          <w:bCs/>
          <w:color w:val="auto"/>
          <w:szCs w:val="21"/>
          <w:highlight w:val="none"/>
        </w:rPr>
        <w:t xml:space="preserve">评审小组</w:t>
      </w:r>
      <w:r>
        <w:rPr>
          <w:rFonts w:hint="eastAsia" w:ascii="宋体" w:hAnsi="宋体" w:cs="宋体"/>
          <w:color w:val="auto"/>
          <w:szCs w:val="21"/>
          <w:highlight w:val="none"/>
        </w:rPr>
        <w:t xml:space="preserve">认定的供应商响应报价过低、有可能影响产品质量或者不能诚信履约的其他情形。</w:t>
      </w:r>
      <w:r/>
    </w:p>
    <w:p>
      <w:pPr>
        <w:ind w:firstLine="420"/>
        <w:jc w:val="left"/>
        <w:spacing w:line="360" w:lineRule="auto"/>
        <w:shd w:val="clear" w:color="auto" w:fill="ffffff"/>
        <w:rPr>
          <w:rFonts w:ascii="宋体" w:hAnsi="宋体" w:cs="宋体"/>
          <w:color w:val="auto"/>
          <w:szCs w:val="21"/>
          <w:highlight w:val="none"/>
        </w:rPr>
      </w:pPr>
      <w:r>
        <w:rPr>
          <w:rFonts w:hint="eastAsia" w:ascii="宋体" w:hAnsi="宋体" w:cs="宋体"/>
          <w:color w:val="auto"/>
          <w:szCs w:val="21"/>
          <w:highlight w:val="none"/>
        </w:rPr>
        <w:t xml:space="preserve">（4）启动异常低价投标审查后，</w:t>
      </w:r>
      <w:r>
        <w:rPr>
          <w:rFonts w:hint="eastAsia" w:ascii="宋体" w:hAnsi="宋体"/>
          <w:bCs/>
          <w:color w:val="auto"/>
          <w:szCs w:val="21"/>
          <w:highlight w:val="none"/>
        </w:rPr>
        <w:t xml:space="preserve">评审小组</w:t>
      </w:r>
      <w:r>
        <w:rPr>
          <w:rFonts w:hint="eastAsia" w:ascii="宋体" w:hAnsi="宋体" w:cs="宋体"/>
          <w:color w:val="auto"/>
          <w:szCs w:val="21"/>
          <w:highlight w:val="none"/>
        </w:rPr>
        <w:t xml:space="preserve">应当要求相关供应商在合理的时间内，提供项目具体成本测算等与报价合理性相关的书面说明及相关证明材料，对响应报价作出解释，由</w:t>
      </w:r>
      <w:r>
        <w:rPr>
          <w:rFonts w:hint="eastAsia" w:ascii="宋体" w:hAnsi="宋体"/>
          <w:bCs/>
          <w:color w:val="auto"/>
          <w:szCs w:val="21"/>
          <w:highlight w:val="none"/>
        </w:rPr>
        <w:t xml:space="preserve">磋商小组</w:t>
      </w:r>
      <w:r>
        <w:rPr>
          <w:rFonts w:hint="eastAsia" w:ascii="宋体" w:hAnsi="宋体" w:cs="宋体"/>
          <w:color w:val="auto"/>
          <w:szCs w:val="21"/>
          <w:highlight w:val="none"/>
        </w:rPr>
        <w:t xml:space="preserve">结合同类产品在主流网站价格、该行业当地薪资水平等情况，依据专业经验对供应商报价合理性进行判断。响应供应商不提供书面说明、证明材料，或者提供的书面说明、证明材料不能证明其报价合理性的，</w:t>
      </w:r>
      <w:r>
        <w:rPr>
          <w:rFonts w:hint="eastAsia" w:ascii="宋体" w:hAnsi="宋体"/>
          <w:bCs/>
          <w:color w:val="auto"/>
          <w:szCs w:val="21"/>
          <w:highlight w:val="none"/>
        </w:rPr>
        <w:t xml:space="preserve">评审小组</w:t>
      </w:r>
      <w:r>
        <w:rPr>
          <w:rFonts w:hint="eastAsia" w:ascii="宋体" w:hAnsi="宋体" w:cs="宋体"/>
          <w:color w:val="auto"/>
          <w:szCs w:val="21"/>
          <w:highlight w:val="none"/>
        </w:rPr>
        <w:t xml:space="preserve">当将其作为无效投标处理。审查相关情况应当在评审报告中进行记录</w:t>
      </w:r>
      <w:r>
        <w:rPr>
          <w:rFonts w:hint="eastAsia" w:ascii="宋体" w:hAnsi="宋体" w:cs="宋体"/>
          <w:color w:val="auto"/>
          <w:szCs w:val="21"/>
          <w:highlight w:val="none"/>
        </w:rPr>
        <w:t xml:space="preserve">。</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23.投标文件的澄清</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23.1 评标期间，评委会对投标文件中含义不明确、同类问题表述不一致或者有明显文字和计算错误的内容，有权要求供应商　作出必要的澄清、说明或者补正。</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供应商的澄清、说明或者补正不得超出投标文件的范围或者改变投标文件的实质性内容。</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评委会并非对每个供应商　都做澄清要求。</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23.2 需要供应商进行澄清、说明和补正的，评委会将通过苏采云系统向供应商　发出《澄清要求函》，接到《澄清要求函》的供应商应当按照要求在苏采云系统中提交《澄清响应函》并加盖电子公章。澄清、说明和补正的内容作为投标文件的补充部分，具体操作方式见《操作手册》。</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23.3 接到评委会澄清、说明和补正要求的，供应商　如未按规定作出澄清、说明和补正，其风险由供应商　自行承担。</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24.投标文件的审查</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24.1 投标文件审查分为资格审查和符合性审查。</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24.1.1 资格审查。依据法律法规和招标文件规定，由采购人对投标文件中的资格证明文件进行审查，并向评委会反馈审查结论。</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采购人进行资格审查时，将在“信用中国”网站（www.creditchina.gov.cn）查询供应商　的信用记录，以确定供应商　是否具备投标资格，查询结果留存并归档。</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接受联合体的项目，联合体成员存在不良信用记录的，视同联合体存在不良信用记录。</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24.1.3 未通过资格审查或符合性审查的供应商　，将通过苏采云系统告知其具体原因，评标结束后不再接受有关询问。</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所谓重大偏离或保留是指与招标文件规定的实质性要求存在负偏离，或者在实质上与招标文件不一致，而且限制了合同中采购人的权利或供应商的义务，纠正这些偏离或保留将会对其他实质性响应的供应商　产生不公正的影响。重大偏离的认定由评委会按照少数服从多数的原则作出结论。评委会认定投标文件的响应性只根据投标文件本身的内容，而不寻求外部的证据。</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24.3 如果投标文件实质上没有响应招标文件的要求，评委会将予以拒绝，供应商　不得通过修改或撤销不合要求的偏离或保留而使其投标成为实质性响应的投标。</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24.4 评委会将对确定为实质性响应的投标进行进一步审核，确定其是否有计算上或累加上的算术错误。修正错误的原则如下：</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（1）投标文件中开标一览表内容与投标文件中相应内容不一致的，以开标一览表为准；</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（2）大写金额和小写金额不一致的，以大写金额为准；</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（3）单价金额小数点或者百分比有明显错位的，以开标一览表的总价为准，并修改单价；</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（4）总价金额与按单价汇总金额不一致的，以单价金额计算结果为准。</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同时出现两种以上错误的，按照前款规定的顺序修正。</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24.5 评委会将按上述修正错误的方法调整投标文件中的投标报价，并通过书面告知供应商　，调整后的价格对供应商具有约束力。如果供应商不接受修正后的价格，则其投标将被拒绝。</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24.6 供应商在开、评标全过程中应保持通讯畅通，及时登录苏采云系统查阅、答复相关信息，并安排专人与评委会联系。</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25.无效投标和废标</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25.1 无效投标条款</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25.1.1供应商在苏采云系统规定的时间内未成功解密电子投标文件。</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25.1.2供应商未按照招标文件要求上传电子投标文件。</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25.1.3不同供应商的投标文件由同一单位或者个人编制。</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25.1.4不同供应商委托同一单位或者个人办理投标事宜。</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25.1.5不同供应商的投标文件载明的项目管理成员或者联系人员为同一人。</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25.1.6不同供应商的投标文件异常一致或者投标报价呈规律性差异。</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25.1.7属于招标公告中拒绝参加本次采购活动供应商的</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25.1.8不同供应商的投标保证金从同一单位或者个人的账户转出。</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25.1.9不同供应商的法定代表人或委托代理人有夫妻、直系血亲关系的。</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25.1.10不同供应商的负责人为同一人或者存在控股、管理关系的。</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25.1.11不同供应商的委托代理人(或法定代表人、项目经理、项目总监、项目负责人等)在招标文件发布日上月至投标截止日当月在同一单位缴纳社会保险的。</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25.1.12同一供应商提交两个（含两个）以上不同的投标报价的。</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25.1.13供应商不具备招标文件规定的资格要求的。</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25.1.14供应商的报价超过了采购预算或最高限价的。</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25.1.15 未通过符合性审查的。</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25.1.16 </w:t>
      </w:r>
      <w:r>
        <w:rPr>
          <w:rFonts w:hint="eastAsia" w:ascii="宋体" w:hAnsi="宋体" w:cs="宋体"/>
          <w:color w:val="auto"/>
          <w:highlight w:val="none"/>
        </w:rPr>
        <w:t xml:space="preserve">未提供招标文件要求的签字、盖章等要求</w:t>
      </w:r>
      <w:r>
        <w:rPr>
          <w:rFonts w:hint="eastAsia" w:ascii="宋体" w:hAnsi="宋体" w:cs="宋体"/>
          <w:color w:val="auto"/>
          <w:highlight w:val="none"/>
          <w:lang w:val="zh-CN"/>
        </w:rPr>
        <w:t xml:space="preserve">。</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25.1.17不符合招标文件中实质性要求和条件的（本招标文件中斜体且有下划线部分，或者打“★”内容为实质性要求和条件）。</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25.1.18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25.1.19 投标文件含有采购人不能接受的附加条件的。</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25.1.20 评委会认为供应商　的报价明显低于其他通过符合性审查供应商　的报价，有可能影响服务质量或者不能诚信履约的，将通过苏采云系统要求其在合理的时间内提供说明，必要时提交相关证明材料。供应商　不能证明其报价合理性的，评委会应当将其作为无效投标处理。</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25.1.21 采购产品被财政部、国家发改委、生态环境部等列入“节能产品品目清单”强制采购范围，而供应商　提供的产品不在强制采购范围内的。</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25.1.22  法律法规及本招标文件规定的其他无效投标情形。</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25.2 废标条款</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25.2.1 符合资格条件的供应商或者对招标文件作出实质性响应的供应商不足三家的。</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25.2.2 出现影响采购公正的违法、违规行为的。</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25.2.3 因重大变故采购任务取消的。</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25.2.4 评委会认定招标文件存在歧义、重大缺陷导致评审工作无法进行的。</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25.2.5  因苏采云系统故障造成开标不成功。</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25.3 如出现投标截止时间后参加投标的供应商或者对招标文件作出实质性响应的供应商不足三家的情况，按政府采购相关规定执行。</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六、定标</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26.确定中标单位</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26.1 中标候选人的确定原则和数量：采用综合评分法的，评标结果按评审后得分由高到低顺序排列。得分相同的，按投标报价由低到高顺序排列。得分且投标报价相同的，按技术部分得分由高到低顺序排列。在投标文件满足招标文件全部实质性要求的供应商中，按照评审得分由高到低推荐3名中标候选人。</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26.2 按以下第（2）种方式确定供应商：</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（1）评委会直接确定排名第一的中标候选人为供应商；</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（2）采购人在评委会推荐的中标候选人中按顺序确定供应商。</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按第二种方式确定供应商的，招标代理机构自评审结束之日起两个工作日内将评审报告送达采购人，采购人自收到评审报告之日起五个工作日内，在评审报告推荐的中标候选人中按顺序确定供应商。</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26.3 将在“江苏政府采购网”发布中标公告，公告期限为1个工作日。</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26.4 若有充分证据证明供应商有下列情况之一的，一经查实将被取消中标资格：</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26.4.1 提供虚假材料谋取中标的。</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26.4.2 向采购人、行贿或者提供其他不正当利益的。</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26.4.3 属于本文件规定的无效投标情形，但在评标过程中未被评委会发现的。</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26.4.4 与采购人或者其他供应商恶意串通的。</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26.4.5 采取不正当手段诋毁、排挤其他供应商的。</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26.5 有下列情形之一的视为供应商　串通投标，投标无效：</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26.5.1 不同供应商的投标文件由同一单位或者个人编制。</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26.5.2 不同供应商委托同一单位或者个人办理投标事宜。</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26.5.3 不同供应商的投标文件载明的项目管理成员或者联系人员为同一人。</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26.5.4 不同供应商的投标文件异常一致或者投标报价呈规律性差异。</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27.中标通知书</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27.l 中标结果确定后，将向供应商发出《中标通知书》。供应商可在中标结果公告届满之日起三十日内,登录苏采云系统下载。因系统存储空间有限，中标结果公告届满之日起三十日后，苏采云系统不再保证提供下载《中标通知书》服务，因未及时下载而造成的不利后果由供应商自行承担。</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27.2 《中标通知书》是合同的一个组成部分，对采购人和供应商均具有法律效力。《中标通知书》发出后，采购人改变中标结果或者供应商放弃中标项目的，应当依法承担法律责任。</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七、授予合同</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28.签订合同</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28.l 供应商应当在《中标通知书》发出之日起三十日内，按照招标文件确定的事项与采购人签订政府采购合同。</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28.2 招标文件、供应商的投标文件及招标过程中有关澄清、承诺文件均作为合同附件。</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28.3 签订合同后，供应商不得将合同标的进行转包。未经采购人同意，供应商也不得采用分包的形式履行合同，否则采购人有权终止合同。转包或分包造成采购人损失的，供应商应承担相应赔偿责任。</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28.4 供应商因自身原因拒绝与采购人签订合同的，不得参加采购人重新组织的采购活动，且将可能被拒绝参加该采购人一年内的其他政府采购活动。</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28.5 供应商因不可抗力或者自身原因不能履行合同的，采购人可以重新招标，也可以视情与排位在供应商　之后第一位的中标候选人签订采购合同。</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29.货物（包含与货物相关的服务）的追加</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29.1 合同履行中，采购人需追加与合同标的相同的货物（包含与货物相关的服务），在不改变合同其他条款的前提下，可以与供应商协商签订补充合同，但所有补充合同的金额不超过原合同金额的10%。</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30.政府采购履约资金扶持政策（如适用）</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30.1 供应商可通过南京市公共资源交易中心网站“小企业融资平台”，选择相应的金融机构办理融资贷款。</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30.2 依据《关于在全省政府采购领域推行电子履约保函（保险）的通知》（苏财购〔2023〕150号），供应商　可通过江苏政府采购网“政府采购电子履约保函（保险）综合服务平台”线上办理履约保函（保险）。</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八、质疑</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31.提出质疑的供应商应当是参与所质疑项目采购活动的供应商，潜在供应商依法获取其可质疑的采购文件的，可以对采购文件提出质疑。</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32.供应商认为采购文件、采购过程和采购结果使自己的权益受到损害的，可以在知道或应知其权益受到损害之日起七个工作日内，按照第34条、第35条之规定以书面形式向采购人提出质疑。上述应知其权益受到损害之日是指：</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32.1 对采购文件提出质疑的，为收到采购文件之日或者采购文件公告期限届满之日。</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32.2 对采购过程提出质疑的，为各采购程序环节结束之日。</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32.3 对中标或者成交结果提出质疑的，为中标或者成交结果公告期限届满之日。</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33.供应商应当在法定质疑期内一次性提出针对同一采购程序环节的质疑。供应商如在法定期限内对同一采购程序环节提出多次质疑的，招标代理或采购人将只对供应商第一次质疑作出答复。</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34.供应商提出质疑应提交《质疑函》原件,且尽可能通过邮寄方式送达，采购人不接受无运单的快件。《质疑函》应按照本招标文件中《质疑函范本》的格式和内容填写。</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供应商如组成联合体参加投标，《质疑函范本》中要求加盖公章之处，联合体各方均须按要求加盖公章。</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35.供应商（含潜在供应商）对采购方式、采购需求、供应商资格条件及审查结果、评标方法和评标标准、合同文本等的询问、质疑向或采购人提出，由或采购人负责答复。</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  </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36.以下情形的质疑不予受理：</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36.1 内容不符合《政府采购质疑和投诉办法》第十二条规定的质疑。</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36.2 超出政府采购法定期限的质疑。</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36.3 以传真、电子邮件等方式递交的非原件形式的质疑。</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36.4 未参加投标活动的供应商或在投标活动中自身权益未受到损害的供应商所提出的质疑。</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36.5 供应商组成联合体参加投标，联合体中任何一方或多方未按要求签字或签章、加盖公章的质疑。</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37.供应商提出书面质疑必须有理、有据，不得捏造事实、提供虚假材料进行恶意质疑。否则，一经查实，或采购人有权依据政府采购的有关规定，报请政府采购监管部门对该供应商进行相应的行政处罚和记录该供应商的失信信息。</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九、政策功能落实</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38.促进中小企业发展</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38.1 在政府采购活动中，供应商提供的货物或者服务符合下列情形的，享受中小企业扶持政策：</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（1）在货物采购项目中，全部货物由中小企业制造；</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（2）在服务采购项目中，服务由中小企业承接。</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38.3 中小企业参加政府采购活动，应当出具《中小企业声明函》，否则不享受相关中小企业支持政策。</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38.4 以联合体形式参加政府采购活动，联合体各方均为中小企业的，联合体视同中小企业。其中，联合体各方均为小微企业的，联合体视同小微企业。</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38.6 残疾人福利性单位视同小型、微型企业。按照《关于促进残疾人就业政府采购政策的通知》（财库〔2017〕141号）规定，残疾人福利单位需提供《残疾人福利性单位声明函》。</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39.节能环保产品（</w:t>
      </w:r>
      <w:r>
        <w:rPr>
          <w:rFonts w:hint="eastAsia" w:ascii="宋体" w:hAnsi="宋体" w:cs="宋体"/>
          <w:color w:val="auto"/>
          <w:highlight w:val="none"/>
        </w:rPr>
        <w:t xml:space="preserve">如有</w:t>
      </w:r>
      <w:r>
        <w:rPr>
          <w:rFonts w:hint="eastAsia" w:ascii="宋体" w:hAnsi="宋体" w:cs="宋体"/>
          <w:color w:val="auto"/>
          <w:highlight w:val="none"/>
          <w:lang w:val="zh-CN"/>
        </w:rPr>
        <w:t xml:space="preserve">）</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39.2 采购产品属于政府强制采购节能产品的，供应商应当选择依据国家能效标准中二级能效（水效）指标认证的节能产品投标，并在签订合同时提供国家确定的认证机构出具的、处于有效期之内的节能产品认证证书。 </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40.绿色采购（</w:t>
      </w:r>
      <w:r>
        <w:rPr>
          <w:rFonts w:hint="eastAsia" w:ascii="宋体" w:hAnsi="宋体" w:cs="宋体"/>
          <w:color w:val="auto"/>
          <w:highlight w:val="none"/>
        </w:rPr>
        <w:t xml:space="preserve">如有</w:t>
      </w:r>
      <w:r>
        <w:rPr>
          <w:rFonts w:hint="eastAsia" w:ascii="宋体" w:hAnsi="宋体" w:cs="宋体"/>
          <w:color w:val="auto"/>
          <w:highlight w:val="none"/>
          <w:lang w:val="zh-CN"/>
        </w:rPr>
        <w:t xml:space="preserve">）</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22"/>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41.创新产品采购</w:t>
      </w:r>
      <w:r/>
    </w:p>
    <w:p>
      <w:pPr>
        <w:ind w:firstLine="422"/>
        <w:spacing w:line="360" w:lineRule="auto"/>
        <w:rPr>
          <w:rFonts w:ascii="宋体" w:cs="宋体"/>
          <w:b/>
          <w:bCs/>
          <w:color w:val="auto"/>
          <w:szCs w:val="21"/>
          <w:highlight w:val="none"/>
          <w:lang w:val="zh-CN"/>
        </w:rPr>
      </w:pPr>
      <w:r>
        <w:rPr>
          <w:rFonts w:hint="eastAsia" w:ascii="宋体" w:hAnsi="宋体" w:cs="宋体"/>
          <w:color w:val="auto"/>
          <w:highlight w:val="none"/>
          <w:lang w:val="zh-CN"/>
        </w:rPr>
        <w:t xml:space="preserve">41.1 优先采购各级政府部门公开发布的有效期内的创新产品、首台套等《目录》内的创新产品。创新产品自进入《目录》起2年内视同具备相应销售业绩。</w:t>
      </w:r>
      <w:r/>
    </w:p>
    <w:p>
      <w:pPr>
        <w:ind w:firstLine="420"/>
        <w:spacing w:line="360" w:lineRule="auto"/>
        <w:rPr>
          <w:color w:val="auto"/>
          <w:highlight w:val="none"/>
        </w:rPr>
      </w:pPr>
      <w:r>
        <w:rPr>
          <w:color w:val="auto"/>
          <w:highlight w:val="none"/>
        </w:rPr>
      </w:r>
      <w:r/>
    </w:p>
    <w:p>
      <w:pPr>
        <w:jc w:val="center"/>
        <w:spacing w:line="360" w:lineRule="auto"/>
        <w:rPr>
          <w:b/>
          <w:color w:val="auto"/>
          <w:sz w:val="32"/>
          <w:szCs w:val="32"/>
          <w:highlight w:val="none"/>
        </w:rPr>
      </w:pPr>
      <w:r>
        <w:rPr>
          <w:b/>
          <w:color w:val="auto"/>
          <w:sz w:val="32"/>
          <w:szCs w:val="32"/>
          <w:highlight w:val="none"/>
        </w:rPr>
      </w:r>
      <w:r/>
    </w:p>
    <w:p>
      <w:pPr>
        <w:pStyle w:val="1084"/>
        <w:ind w:firstLine="0"/>
        <w:rPr>
          <w:color w:val="auto"/>
          <w:highlight w:val="none"/>
        </w:rPr>
      </w:pPr>
      <w:r>
        <w:rPr>
          <w:color w:val="auto"/>
          <w:highlight w:val="none"/>
        </w:rPr>
      </w:r>
      <w:r/>
    </w:p>
    <w:p>
      <w:pPr>
        <w:spacing w:line="360" w:lineRule="auto"/>
        <w:rPr>
          <w:color w:val="auto"/>
          <w:highlight w:val="none"/>
        </w:rPr>
      </w:pPr>
      <w:r>
        <w:rPr>
          <w:color w:val="auto"/>
          <w:highlight w:val="none"/>
        </w:rPr>
      </w:r>
      <w:r/>
    </w:p>
    <w:p>
      <w:pPr>
        <w:pStyle w:val="926"/>
        <w:spacing w:line="360" w:lineRule="auto"/>
        <w:rPr>
          <w:color w:val="auto"/>
          <w:highlight w:val="none"/>
        </w:rPr>
      </w:pPr>
      <w:r>
        <w:rPr>
          <w:color w:val="auto"/>
          <w:highlight w:val="none"/>
        </w:rPr>
      </w:r>
      <w:r/>
    </w:p>
    <w:p>
      <w:pPr>
        <w:pStyle w:val="926"/>
        <w:spacing w:line="360" w:lineRule="auto"/>
        <w:rPr>
          <w:color w:val="auto"/>
          <w:highlight w:val="none"/>
        </w:rPr>
      </w:pPr>
      <w:r>
        <w:rPr>
          <w:color w:val="auto"/>
          <w:highlight w:val="none"/>
        </w:rPr>
      </w:r>
      <w:r/>
    </w:p>
    <w:p>
      <w:pPr>
        <w:pStyle w:val="926"/>
        <w:spacing w:line="360" w:lineRule="auto"/>
        <w:rPr>
          <w:color w:val="auto"/>
          <w:highlight w:val="none"/>
        </w:rPr>
      </w:pPr>
      <w:r>
        <w:rPr>
          <w:color w:val="auto"/>
          <w:highlight w:val="none"/>
        </w:rPr>
      </w:r>
      <w:r/>
    </w:p>
    <w:p>
      <w:pPr>
        <w:pStyle w:val="926"/>
        <w:spacing w:line="360" w:lineRule="auto"/>
        <w:rPr>
          <w:color w:val="auto"/>
          <w:highlight w:val="none"/>
        </w:rPr>
      </w:pPr>
      <w:r>
        <w:rPr>
          <w:color w:val="auto"/>
          <w:highlight w:val="none"/>
        </w:rPr>
      </w:r>
      <w:r/>
    </w:p>
    <w:p>
      <w:pPr>
        <w:spacing w:line="360" w:lineRule="auto"/>
        <w:rPr>
          <w:rStyle w:val="938"/>
          <w:rFonts w:ascii="黑体" w:hAnsi="黑体" w:eastAsia="黑体" w:cs="黑体"/>
          <w:b w:val="0"/>
          <w:bCs w:val="0"/>
          <w:color w:val="auto"/>
          <w:sz w:val="32"/>
          <w:szCs w:val="32"/>
          <w:highlight w:val="none"/>
          <w:lang w:val="zh-CN"/>
        </w:rPr>
      </w:pPr>
      <w:r/>
      <w:bookmarkStart w:id="22" w:name="_Toc28870"/>
      <w:r>
        <w:rPr>
          <w:rStyle w:val="938"/>
          <w:rFonts w:hint="eastAsia" w:ascii="黑体" w:hAnsi="黑体" w:eastAsia="黑体" w:cs="黑体"/>
          <w:b w:val="0"/>
          <w:bCs w:val="0"/>
          <w:color w:val="auto"/>
          <w:sz w:val="32"/>
          <w:szCs w:val="32"/>
          <w:highlight w:val="none"/>
          <w:lang w:val="zh-CN"/>
        </w:rPr>
        <w:br w:type="page" w:clear="all"/>
      </w:r>
      <w:r/>
    </w:p>
    <w:p>
      <w:pPr>
        <w:pStyle w:val="875"/>
        <w:keepLines w:val="0"/>
        <w:keepNext w:val="0"/>
        <w:spacing w:before="0" w:after="0" w:line="360" w:lineRule="auto"/>
        <w:rPr>
          <w:rStyle w:val="938"/>
          <w:rFonts w:ascii="黑体" w:hAnsi="黑体" w:eastAsia="黑体" w:cs="黑体"/>
          <w:b w:val="0"/>
          <w:bCs w:val="0"/>
          <w:color w:val="auto"/>
          <w:sz w:val="32"/>
          <w:szCs w:val="32"/>
          <w:highlight w:val="none"/>
          <w:lang w:val="zh-CN"/>
        </w:rPr>
      </w:pPr>
      <w:r>
        <w:rPr>
          <w:rStyle w:val="938"/>
          <w:rFonts w:hint="eastAsia" w:ascii="黑体" w:hAnsi="黑体" w:eastAsia="黑体" w:cs="黑体"/>
          <w:b w:val="0"/>
          <w:bCs w:val="0"/>
          <w:color w:val="auto"/>
          <w:sz w:val="32"/>
          <w:szCs w:val="32"/>
          <w:highlight w:val="none"/>
          <w:lang w:val="zh-CN"/>
        </w:rPr>
        <w:t xml:space="preserve">第三章 评标标准</w:t>
      </w:r>
      <w:bookmarkEnd w:id="22"/>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采用综合评分法。即在最大限度地满足招标文件实质性要求前提下，按照招标文件中规定的各项因素进行综合评审后，以评标总得分最高的投标供应商作为中标候选供应商或者供应商的评标方法。</w:t>
      </w:r>
      <w:r/>
    </w:p>
    <w:p>
      <w:pPr>
        <w:ind w:firstLine="420"/>
        <w:spacing w:line="360" w:lineRule="auto"/>
        <w:shd w:val="clear" w:color="auto" w:fill="ffffff"/>
        <w:widowControl/>
        <w:rPr>
          <w:rFonts w:ascii="宋体" w:hAnsi="宋体"/>
          <w:color w:val="auto"/>
          <w:szCs w:val="21"/>
          <w:highlight w:val="none"/>
        </w:rPr>
      </w:pPr>
      <w:r/>
      <w:bookmarkStart w:id="23" w:name="_Toc428299650"/>
      <w:r/>
      <w:bookmarkStart w:id="24" w:name="_Toc152042377"/>
      <w:r/>
      <w:bookmarkStart w:id="25" w:name="_Toc152045600"/>
      <w:r/>
      <w:bookmarkStart w:id="26" w:name="_Toc179632618"/>
      <w:r/>
      <w:bookmarkStart w:id="27" w:name="_Toc144974567"/>
      <w:r>
        <w:rPr>
          <w:rFonts w:hint="eastAsia" w:ascii="宋体" w:hAnsi="宋体"/>
          <w:color w:val="auto"/>
          <w:szCs w:val="21"/>
          <w:highlight w:val="none"/>
        </w:rPr>
        <w:t xml:space="preserve">（适用于分包一、二、三、四）</w:t>
      </w:r>
      <w:r/>
    </w:p>
    <w:tbl>
      <w:tblPr>
        <w:tblStyle w:val="885"/>
        <w:tblW w:w="5206" w:type="pct"/>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786"/>
        <w:gridCol w:w="7349"/>
        <w:gridCol w:w="1350"/>
      </w:tblGrid>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评分要素</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投标报价</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价格分采用低价优先法计算，即满足招标文件要求且投标价格最低的投标报价为评标基准价，其价格分为满分。其他供应商的价格分统一按照下列公式计算：投标报价得分=(评标基准价/投标报价)×10，保留两位小数。</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2.1</w:t>
            </w:r>
            <w:r/>
          </w:p>
        </w:tc>
        <w:tc>
          <w:tcPr>
            <w:tcBorders>
              <w:top w:val="single" w:color="auto" w:sz="4" w:space="0"/>
              <w:left w:val="single" w:color="auto" w:sz="4" w:space="0"/>
              <w:right w:val="single" w:color="auto" w:sz="4" w:space="0"/>
            </w:tcBorders>
            <w:tcW w:w="382" w:type="pct"/>
            <w:vAlign w:val="center"/>
            <w:vMerge w:val="restart"/>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服务方案</w:t>
            </w:r>
            <w:r/>
          </w:p>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供应商对本项目具体情况了解熟悉，对工作内容思路清晰，切合项目实际，方案完整合理可行。</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思路清晰、方案完整可行得10分；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思路较清晰、方案较完整得7分；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思路一般、方案一般得4分；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差或未提供方案的不得分。</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bookmarkStart w:id="28" w:name="OLE_LINK5"/>
            <w:r/>
            <w:bookmarkStart w:id="29" w:name="_Hlk183785486"/>
            <w:r/>
            <w:bookmarkStart w:id="30" w:name="OLE_LINK6"/>
            <w:r>
              <w:rPr>
                <w:rFonts w:hint="eastAsia" w:ascii="宋体" w:hAnsi="宋体" w:cs="宋体"/>
                <w:color w:val="auto"/>
                <w:szCs w:val="21"/>
                <w:highlight w:val="none"/>
              </w:rPr>
              <w:t xml:space="preserve">2.2</w:t>
            </w:r>
            <w:r/>
          </w:p>
        </w:tc>
        <w:tc>
          <w:tcPr>
            <w:tcBorders>
              <w:left w:val="single" w:color="auto" w:sz="4" w:space="0"/>
              <w:right w:val="single" w:color="auto" w:sz="4" w:space="0"/>
            </w:tcBorders>
            <w:tcW w:w="382"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供应商掌握堤防养护工作要领，对本项目养护重点难点进行系统分析，并给出解决对策。</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分析准确、对策合理得10分；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分析较准确、对策较合理得7分；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分析一般、对策一般得4分；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差或未提供的不得分。</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10分</w:t>
            </w:r>
            <w:bookmarkEnd w:id="28"/>
            <w:r/>
            <w:bookmarkEnd w:id="29"/>
            <w:r/>
            <w:bookmarkEnd w:id="30"/>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2.3</w:t>
            </w:r>
            <w:r/>
          </w:p>
        </w:tc>
        <w:tc>
          <w:tcPr>
            <w:tcBorders>
              <w:left w:val="single" w:color="auto" w:sz="4" w:space="0"/>
              <w:right w:val="single" w:color="auto" w:sz="4" w:space="0"/>
            </w:tcBorders>
            <w:tcW w:w="382"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供应商掌握堤防养护、防护林档案、资料管理工作要领，对本项目制定切实有效的</w:t>
            </w:r>
            <w:r>
              <w:rPr>
                <w:rFonts w:ascii="宋体" w:hAnsi="宋体" w:cs="宋体"/>
                <w:color w:val="auto"/>
                <w:szCs w:val="21"/>
                <w:highlight w:val="none"/>
              </w:rPr>
              <w:t xml:space="preserve">档案、资料管理制度</w:t>
            </w:r>
            <w:r>
              <w:rPr>
                <w:rFonts w:hint="eastAsia" w:ascii="宋体" w:hAnsi="宋体" w:cs="宋体"/>
                <w:color w:val="auto"/>
                <w:szCs w:val="21"/>
                <w:highlight w:val="none"/>
              </w:rPr>
              <w:t xml:space="preserve">和实施办法，上报及归档有序可行，叙述科学。</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制度完整、方案有序可行得8分；</w:t>
            </w:r>
            <w:r/>
          </w:p>
          <w:p>
            <w:pPr>
              <w:jc w:val="left"/>
              <w:widowControl/>
              <w:rPr>
                <w:rFonts w:ascii="宋体" w:hAnsi="宋体" w:cs="宋体"/>
                <w:color w:val="auto"/>
                <w:szCs w:val="21"/>
                <w:highlight w:val="none"/>
              </w:rPr>
            </w:pPr>
            <w:r>
              <w:rPr>
                <w:rFonts w:ascii="宋体" w:hAnsi="宋体" w:cs="宋体"/>
                <w:color w:val="auto"/>
                <w:szCs w:val="21"/>
                <w:highlight w:val="none"/>
              </w:rPr>
              <w:t xml:space="preserve">制度</w:t>
            </w:r>
            <w:r>
              <w:rPr>
                <w:rFonts w:hint="eastAsia" w:ascii="宋体" w:hAnsi="宋体" w:cs="宋体"/>
                <w:color w:val="auto"/>
                <w:szCs w:val="21"/>
                <w:highlight w:val="none"/>
              </w:rPr>
              <w:t xml:space="preserve">较</w:t>
            </w:r>
            <w:r>
              <w:rPr>
                <w:rFonts w:ascii="宋体" w:hAnsi="宋体" w:cs="宋体"/>
                <w:color w:val="auto"/>
                <w:szCs w:val="21"/>
                <w:highlight w:val="none"/>
              </w:rPr>
              <w:t xml:space="preserve">完整、</w:t>
            </w:r>
            <w:r>
              <w:rPr>
                <w:rFonts w:hint="eastAsia" w:ascii="宋体" w:hAnsi="宋体" w:cs="宋体"/>
                <w:color w:val="auto"/>
                <w:szCs w:val="21"/>
                <w:highlight w:val="none"/>
              </w:rPr>
              <w:t xml:space="preserve">方案较有序可行得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制度不够完整、方案不够有序可行得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差或未提供的不得分。</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382"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供应商应在对本项目具体情况了解熟悉、周密制定服务方案的基础上，提供服务承诺及服务计划。</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服务承诺完整，计划详细得8分；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服务承诺较完整，计划较详细得5分；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服务承诺一般，计划一般得2分；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差或未提供的不得分。</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2.4</w:t>
            </w:r>
            <w:r/>
          </w:p>
        </w:tc>
        <w:tc>
          <w:tcPr>
            <w:tcBorders>
              <w:left w:val="single" w:color="auto" w:sz="4" w:space="0"/>
              <w:right w:val="single" w:color="auto" w:sz="4" w:space="0"/>
            </w:tcBorders>
            <w:tcW w:w="382"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供应商根据本项目特点制定应急响应预案，突发情况考虑周全，预案详细完整，有针对性、可操作性进行评分。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突发情况考虑周全，预案针对性、操作性强得9分；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突发情况考虑较全，较有针对性、可操作性得6分；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突发情况考虑一般，针对性、可操作性一般得3分；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差或未提供的不得分。</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2.5</w:t>
            </w:r>
            <w:r/>
          </w:p>
        </w:tc>
        <w:tc>
          <w:tcPr>
            <w:tcBorders>
              <w:left w:val="single" w:color="auto" w:sz="4" w:space="0"/>
              <w:bottom w:val="single" w:color="auto" w:sz="4" w:space="0"/>
              <w:right w:val="single" w:color="auto" w:sz="4" w:space="0"/>
            </w:tcBorders>
            <w:tcW w:w="382"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根据供应商安全保护和文明措施是否叙述完整、合理可行、没有明显瑕疵进行评分。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安全保护和文明措施完善、合理可行得7分；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安全保护和文明措施较完善得4分；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安全保护和文明措施不完善得1分；</w:t>
            </w:r>
            <w:r/>
          </w:p>
          <w:p>
            <w:pPr>
              <w:jc w:val="left"/>
              <w:widowControl/>
              <w:rPr>
                <w:color w:val="auto"/>
                <w:szCs w:val="21"/>
                <w:highlight w:val="none"/>
              </w:rPr>
            </w:pPr>
            <w:r>
              <w:rPr>
                <w:rFonts w:hint="eastAsia" w:ascii="宋体" w:hAnsi="宋体" w:cs="宋体"/>
                <w:color w:val="auto"/>
                <w:szCs w:val="21"/>
                <w:highlight w:val="none"/>
              </w:rPr>
              <w:t xml:space="preserve">差或未提供的不得分。</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3.1</w:t>
            </w:r>
            <w:r/>
          </w:p>
        </w:tc>
        <w:tc>
          <w:tcPr>
            <w:tcBorders>
              <w:top w:val="single" w:color="auto" w:sz="4" w:space="0"/>
              <w:left w:val="single" w:color="auto" w:sz="4" w:space="0"/>
              <w:right w:val="single" w:color="auto" w:sz="4" w:space="0"/>
            </w:tcBorders>
            <w:tcW w:w="382" w:type="pct"/>
            <w:vAlign w:val="center"/>
            <w:vMerge w:val="restart"/>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项目人员配备</w:t>
            </w:r>
            <w:r/>
          </w:p>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b/>
                <w:color w:val="auto"/>
                <w:szCs w:val="21"/>
                <w:highlight w:val="none"/>
              </w:rPr>
              <w:t xml:space="preserve">项目负责人业绩</w:t>
            </w:r>
            <w:r>
              <w:rPr>
                <w:rFonts w:hint="eastAsia" w:ascii="宋体" w:hAnsi="宋体" w:cs="宋体"/>
                <w:color w:val="auto"/>
                <w:szCs w:val="21"/>
                <w:highlight w:val="none"/>
              </w:rPr>
              <w:t xml:space="preserve">：拟投入本项目项目负责人自2020年1月1日以来承担过类似河道堤防养护业绩或河道防护林项目业绩，有一项得3分，满分6分。（项目负责人业绩必须是企业承接的，提供中标通知书及合同加盖供应商公章，二者缺一不可，时间、标的内容、项目负责人信息以合同为准，若合同中体现不出项目负责人信息，则可提供建设单位证明材料，提供的证明材料需反应相关信息，否则视为未提供，</w:t>
            </w:r>
            <w:r>
              <w:rPr>
                <w:rFonts w:hint="eastAsia" w:ascii="宋体" w:hAnsi="宋体" w:cs="宋体"/>
                <w:b/>
                <w:color w:val="auto"/>
                <w:szCs w:val="21"/>
                <w:highlight w:val="none"/>
              </w:rPr>
              <w:t xml:space="preserve">企业业绩和项目负责人业绩不可兼得</w:t>
            </w: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3.2</w:t>
            </w:r>
            <w:r/>
          </w:p>
        </w:tc>
        <w:tc>
          <w:tcPr>
            <w:tcBorders>
              <w:left w:val="single" w:color="auto" w:sz="4" w:space="0"/>
              <w:bottom w:val="single" w:color="auto" w:sz="4" w:space="0"/>
              <w:right w:val="single" w:color="auto" w:sz="4" w:space="0"/>
            </w:tcBorders>
            <w:tcW w:w="382"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人员配备：</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本次招标：包一、包二拟投入人员（含管理人员、养护人员、绿化工、安全员）不得少于28人、包三（含管理人员、养护人员、绿化工、安全员）不得少于23人、包四不得少于8人（含管理人员、绿化工），且投入人员年龄都不得超过60周岁，并需提供投标供应商为上述人员办理的有效期内的意外险缴纳证明，全部满足得满分5分，有缺项不得分。（提供人员组成明细表，身份证、意外险缴纳证明加盖供应商公章，否则不得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2、拟投入人员中具有园林绿化相关技能培训证书或岗位培训证书的得2分/人，满分2分。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3、拟投入安全人员具有水利水电安全员证书的得2分/人，满分2分。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（2、3项同一人员不可重复得分，需提供相关证书证明，并提供开标前半年任意一个月为其缴纳社保缴纳，证明</w:t>
            </w:r>
            <w:r>
              <w:rPr>
                <w:rFonts w:hint="eastAsia"/>
                <w:color w:val="auto"/>
                <w:szCs w:val="21"/>
                <w:highlight w:val="none"/>
              </w:rPr>
              <w:t xml:space="preserve">需加盖社保公章或具有可验证的二维码（或验证码）</w:t>
            </w:r>
            <w:r>
              <w:rPr>
                <w:rFonts w:hint="eastAsia" w:ascii="宋体" w:hAnsi="宋体" w:cs="宋体"/>
                <w:color w:val="auto"/>
                <w:szCs w:val="21"/>
                <w:highlight w:val="none"/>
              </w:rPr>
              <w:t xml:space="preserve">并加盖供应商公章，不提供不得分）</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right w:val="single" w:color="auto" w:sz="4" w:space="0"/>
            </w:tcBorders>
            <w:tcW w:w="382" w:type="pct"/>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企业业绩</w:t>
            </w:r>
            <w:r/>
          </w:p>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供应商自2020年1月1日以来（以合同签订时间为准）承担过类似河道堤防养护或河道防护林项目业绩且履约评价结果为优秀或满意正向评价的，每提供一个得3分，满分3分。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（提供中标通知书及合同、履约评价证明加盖供应商公章，缺一不可，时间相关指标以合同为准，</w:t>
            </w:r>
            <w:r>
              <w:rPr>
                <w:rFonts w:hint="eastAsia" w:ascii="宋体" w:hAnsi="宋体" w:cs="宋体"/>
                <w:b/>
                <w:color w:val="auto"/>
                <w:szCs w:val="21"/>
                <w:highlight w:val="none"/>
              </w:rPr>
              <w:t xml:space="preserve">企业业绩和项目负责人业绩不可兼得，如企业业绩与项目负责人为同一业绩时以企业业绩优先赋分</w:t>
            </w: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设备投入</w:t>
            </w:r>
            <w:r/>
          </w:p>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widowControl/>
              <w:rPr>
                <w:rFonts w:ascii="宋体" w:hAnsi="宋体" w:cs="宋体"/>
                <w:color w:val="auto"/>
                <w:szCs w:val="21"/>
                <w:highlight w:val="none"/>
              </w:rPr>
            </w:pPr>
            <w:r/>
            <w:bookmarkStart w:id="31" w:name="OLE_LINK2"/>
            <w:r>
              <w:rPr>
                <w:rFonts w:hint="eastAsia" w:ascii="宋体" w:hAnsi="宋体" w:cs="宋体"/>
                <w:color w:val="auto"/>
                <w:szCs w:val="21"/>
                <w:highlight w:val="none"/>
              </w:rPr>
              <w:t xml:space="preserve">设备配备情况（不得少于下述要求数量，有缺项不得分）：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1、包一、包二、包三基础配备巡查车辆2台及运输车辆1台，包四基础配备巡查车辆1台及运输车辆1台，每增加1台，加2分，满分4分。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2、包一、包二、包三基础配备洒水车1台及电动保洁三轮车4辆，包四基础配备电动三轮车2辆，每增加1台，加2分，满分4分。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包一、包二基础配备：摄像器材（含手机）1套、割灌机10台、吹风机6台，绿篱机2台、打药机1台、油锯1套；包三基础配备：摄像器材（含手机）1套、割灌机8台、吹风机4台，绿篱机1台、打药机1台、油锯1套；包四基础配备：摄像器材（含手机）1套，割灌机2台，吹风机2台，绿篱机2台，打药机2台、油锯2套，高枝油锯2套，</w:t>
            </w:r>
            <w:r>
              <w:rPr>
                <w:rFonts w:ascii="宋体" w:hAnsi="宋体" w:cs="宋体"/>
                <w:color w:val="auto"/>
                <w:szCs w:val="21"/>
                <w:highlight w:val="none"/>
              </w:rPr>
              <w:t xml:space="preserve">抽水机具不少于</w:t>
            </w:r>
            <w:r>
              <w:rPr>
                <w:rFonts w:hint="eastAsia" w:ascii="宋体" w:hAnsi="宋体" w:cs="宋体"/>
                <w:color w:val="auto"/>
                <w:szCs w:val="21"/>
                <w:highlight w:val="none"/>
              </w:rPr>
              <w:t xml:space="preserve">2</w:t>
            </w:r>
            <w:r>
              <w:rPr>
                <w:rFonts w:ascii="宋体" w:hAnsi="宋体" w:cs="宋体"/>
                <w:color w:val="auto"/>
                <w:szCs w:val="21"/>
                <w:highlight w:val="none"/>
              </w:rPr>
              <w:t xml:space="preserve">台</w:t>
            </w:r>
            <w:r>
              <w:rPr>
                <w:rFonts w:hint="eastAsia" w:ascii="宋体" w:hAnsi="宋体" w:cs="宋体"/>
                <w:color w:val="auto"/>
                <w:szCs w:val="21"/>
                <w:highlight w:val="none"/>
              </w:rPr>
              <w:t xml:space="preserve">；每增加1台，加2分，满分8分。</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注：自有车辆提供行驶证及购买发票、其他设备提供购买发票，加盖供应商公章；租赁的提供租赁合同；提供的证明材料需能反映相关内容，否则视为未提供，不得分。</w:t>
            </w:r>
            <w:bookmarkEnd w:id="31"/>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16分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履约</w:t>
            </w:r>
            <w:r>
              <w:rPr>
                <w:rFonts w:ascii="宋体" w:hAnsi="宋体" w:cs="宋体"/>
                <w:color w:val="auto"/>
                <w:szCs w:val="21"/>
                <w:highlight w:val="none"/>
              </w:rPr>
              <w:t xml:space="preserve">承诺</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widowControl/>
              <w:rPr>
                <w:rFonts w:ascii="宋体" w:hAnsi="宋体" w:cs="宋体"/>
                <w:color w:val="auto"/>
                <w:szCs w:val="21"/>
                <w:highlight w:val="none"/>
              </w:rPr>
            </w:pPr>
            <w:r/>
            <w:bookmarkStart w:id="32" w:name="OLE_LINK7"/>
            <w:r>
              <w:rPr>
                <w:rFonts w:hint="eastAsia" w:ascii="宋体" w:hAnsi="宋体" w:cs="宋体"/>
                <w:color w:val="auto"/>
                <w:szCs w:val="21"/>
                <w:highlight w:val="none"/>
              </w:rPr>
              <w:t xml:space="preserve">6.1、应急响应承诺：供应商根据采购方要求，两小时内做出响应并到现场进行处置。（提供承诺书原件扫描件得2分，未提供不得分）</w:t>
            </w:r>
            <w:r/>
          </w:p>
          <w:p>
            <w:pPr>
              <w:jc w:val="left"/>
              <w:widowControl/>
              <w:rPr>
                <w:color w:val="auto"/>
                <w:szCs w:val="21"/>
                <w:highlight w:val="none"/>
              </w:rPr>
            </w:pPr>
            <w:r>
              <w:rPr>
                <w:rFonts w:hint="eastAsia" w:ascii="宋体" w:hAnsi="宋体" w:cs="宋体"/>
                <w:color w:val="auto"/>
                <w:szCs w:val="21"/>
                <w:highlight w:val="none"/>
              </w:rPr>
              <w:t xml:space="preserve">6.2、安全措施费用不低于投标报价的3%（含），得2分，否则不得分。（单独提供承诺书原件扫描件得2分，未提供不得分）</w:t>
            </w:r>
            <w:bookmarkEnd w:id="32"/>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100分</w:t>
            </w:r>
            <w:r/>
          </w:p>
        </w:tc>
      </w:tr>
    </w:tbl>
    <w:p>
      <w:pPr>
        <w:spacing w:line="360" w:lineRule="auto"/>
        <w:rPr>
          <w:rFonts w:ascii="宋体"/>
          <w:b/>
          <w:color w:val="auto"/>
          <w:szCs w:val="21"/>
          <w:highlight w:val="none"/>
        </w:rPr>
      </w:pPr>
      <w:r>
        <w:rPr>
          <w:rFonts w:ascii="宋体"/>
          <w:b/>
          <w:color w:val="auto"/>
          <w:szCs w:val="21"/>
          <w:highlight w:val="none"/>
        </w:rPr>
      </w:r>
      <w:bookmarkEnd w:id="23"/>
      <w:r/>
      <w:bookmarkEnd w:id="24"/>
      <w:r/>
      <w:bookmarkEnd w:id="25"/>
      <w:r/>
      <w:bookmarkEnd w:id="26"/>
      <w:r/>
      <w:bookmarkEnd w:id="27"/>
      <w:r/>
      <w:r/>
    </w:p>
    <w:p>
      <w:pPr>
        <w:spacing w:line="360" w:lineRule="auto"/>
        <w:rPr>
          <w:rFonts w:ascii="宋体"/>
          <w:b/>
          <w:color w:val="auto"/>
          <w:sz w:val="18"/>
          <w:szCs w:val="18"/>
          <w:highlight w:val="none"/>
        </w:rPr>
      </w:pPr>
      <w:r>
        <w:rPr>
          <w:rFonts w:hint="eastAsia" w:ascii="宋体"/>
          <w:b/>
          <w:color w:val="auto"/>
          <w:sz w:val="18"/>
          <w:szCs w:val="18"/>
          <w:highlight w:val="none"/>
        </w:rPr>
        <w:t xml:space="preserve">说明：</w:t>
      </w:r>
      <w:r/>
    </w:p>
    <w:p>
      <w:pPr>
        <w:spacing w:line="360" w:lineRule="auto"/>
        <w:rPr>
          <w:rFonts w:ascii="宋体"/>
          <w:b/>
          <w:color w:val="auto"/>
          <w:sz w:val="18"/>
          <w:szCs w:val="18"/>
          <w:highlight w:val="none"/>
        </w:rPr>
      </w:pPr>
      <w:r>
        <w:rPr>
          <w:rFonts w:hint="eastAsia" w:ascii="宋体" w:cs="宋体"/>
          <w:color w:val="auto"/>
          <w:sz w:val="18"/>
          <w:szCs w:val="18"/>
          <w:highlight w:val="none"/>
        </w:rPr>
        <w:t xml:space="preserve">1.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r/>
    </w:p>
    <w:p>
      <w:pPr>
        <w:jc w:val="left"/>
        <w:spacing w:line="360" w:lineRule="auto"/>
        <w:widowControl/>
        <w:rPr>
          <w:rFonts w:ascii="宋体" w:cs="宋体"/>
          <w:color w:val="auto"/>
          <w:sz w:val="18"/>
          <w:szCs w:val="18"/>
          <w:highlight w:val="none"/>
        </w:rPr>
      </w:pPr>
      <w:r>
        <w:rPr>
          <w:rFonts w:hint="eastAsia" w:ascii="宋体" w:cs="宋体"/>
          <w:color w:val="auto"/>
          <w:sz w:val="18"/>
          <w:szCs w:val="18"/>
          <w:highlight w:val="none"/>
        </w:rPr>
        <w:t xml:space="preserve">2.对小微企业生产的产品给予投标价的10%价格扣除，用扣除后的价格参与评审。</w:t>
      </w:r>
      <w:r/>
    </w:p>
    <w:p>
      <w:pPr>
        <w:jc w:val="left"/>
        <w:spacing w:line="360" w:lineRule="auto"/>
        <w:widowControl/>
        <w:rPr>
          <w:rFonts w:ascii="宋体" w:cs="宋体"/>
          <w:color w:val="auto"/>
          <w:sz w:val="18"/>
          <w:szCs w:val="18"/>
          <w:highlight w:val="none"/>
        </w:rPr>
      </w:pPr>
      <w:r>
        <w:rPr>
          <w:rFonts w:hint="eastAsia" w:ascii="宋体" w:cs="宋体"/>
          <w:color w:val="auto"/>
          <w:sz w:val="18"/>
          <w:szCs w:val="18"/>
          <w:highlight w:val="none"/>
        </w:rPr>
        <w:t xml:space="preserve">3.大中型企业和其他自然人、法人或者其他组织与小型、微型企业组成联合体共同参加投标，如果联合协议中约定，小型、微型企业的协议合同金额占到联合体协议合同总金额30%以上的，给予联合体2%的价格扣除。联合体各方均为中小型、微型企业的，联合体视同为小型、微型企业享受10%价格扣除，用扣除后的价格参与评审。</w:t>
      </w:r>
      <w:r/>
    </w:p>
    <w:p>
      <w:pPr>
        <w:spacing w:line="360" w:lineRule="auto"/>
        <w:rPr>
          <w:rFonts w:ascii="宋体" w:cs="宋体"/>
          <w:color w:val="auto"/>
          <w:sz w:val="18"/>
          <w:szCs w:val="18"/>
          <w:highlight w:val="none"/>
        </w:rPr>
      </w:pPr>
      <w:r>
        <w:rPr>
          <w:rFonts w:hint="eastAsia" w:ascii="宋体" w:cs="宋体"/>
          <w:color w:val="auto"/>
          <w:sz w:val="18"/>
          <w:szCs w:val="18"/>
          <w:highlight w:val="none"/>
        </w:rPr>
        <w:t xml:space="preserve">小企业（含小型、微型企业）应当同时符合以下条件：</w:t>
      </w:r>
      <w:r/>
    </w:p>
    <w:p>
      <w:pPr>
        <w:spacing w:line="360" w:lineRule="auto"/>
        <w:rPr>
          <w:rFonts w:ascii="宋体" w:cs="宋体"/>
          <w:color w:val="auto"/>
          <w:sz w:val="18"/>
          <w:szCs w:val="18"/>
          <w:highlight w:val="none"/>
        </w:rPr>
      </w:pPr>
      <w:r>
        <w:rPr>
          <w:rFonts w:hint="eastAsia" w:ascii="宋体" w:cs="宋体"/>
          <w:color w:val="auto"/>
          <w:sz w:val="18"/>
          <w:szCs w:val="18"/>
          <w:highlight w:val="none"/>
        </w:rPr>
        <w:t xml:space="preserve">（1）供应商为小企业，且符合中小企业划分标准；</w:t>
      </w:r>
      <w:r/>
    </w:p>
    <w:p>
      <w:pPr>
        <w:spacing w:line="360" w:lineRule="auto"/>
        <w:rPr>
          <w:rFonts w:ascii="宋体" w:hAnsi="宋体" w:cs="宋体"/>
          <w:b/>
          <w:color w:val="auto"/>
          <w:sz w:val="18"/>
          <w:szCs w:val="18"/>
          <w:highlight w:val="none"/>
        </w:rPr>
      </w:pPr>
      <w:r>
        <w:rPr>
          <w:rFonts w:hint="eastAsia" w:ascii="宋体" w:hAnsi="宋体" w:cs="宋体"/>
          <w:color w:val="auto"/>
          <w:sz w:val="18"/>
          <w:szCs w:val="18"/>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cs="宋体"/>
          <w:color w:val="auto"/>
          <w:sz w:val="18"/>
          <w:szCs w:val="18"/>
          <w:highlight w:val="none"/>
          <w:lang w:val="zh-CN"/>
        </w:rPr>
        <w:t xml:space="preserve">如未按要求填写和提供有效证明或相关内容表述不清的，不得享受价格扣除。</w:t>
      </w:r>
      <w:r/>
    </w:p>
    <w:p>
      <w:pPr>
        <w:spacing w:line="360" w:lineRule="auto"/>
        <w:rPr>
          <w:rFonts w:ascii="宋体" w:hAnsi="宋体"/>
          <w:color w:val="auto"/>
          <w:sz w:val="18"/>
          <w:szCs w:val="18"/>
          <w:highlight w:val="none"/>
        </w:rPr>
      </w:pPr>
      <w:r>
        <w:rPr>
          <w:rFonts w:hint="eastAsia" w:ascii="宋体" w:hAnsi="宋体"/>
          <w:bCs/>
          <w:color w:val="auto"/>
          <w:sz w:val="18"/>
          <w:szCs w:val="18"/>
          <w:highlight w:val="none"/>
        </w:rPr>
        <w:t xml:space="preserve">4.所有认证、证明和业绩除上表要求外均须提供有效的证明材料加盖公章</w:t>
      </w:r>
      <w:r>
        <w:rPr>
          <w:rFonts w:hint="eastAsia" w:ascii="宋体" w:hAnsi="宋体"/>
          <w:color w:val="auto"/>
          <w:sz w:val="18"/>
          <w:szCs w:val="18"/>
          <w:highlight w:val="none"/>
        </w:rPr>
        <w:t xml:space="preserve">。</w:t>
      </w:r>
      <w:r/>
    </w:p>
    <w:p>
      <w:pPr>
        <w:jc w:val="left"/>
        <w:spacing w:line="360" w:lineRule="auto"/>
        <w:rPr>
          <w:b/>
          <w:color w:val="auto"/>
          <w:sz w:val="18"/>
          <w:szCs w:val="18"/>
          <w:highlight w:val="none"/>
        </w:rPr>
      </w:pPr>
      <w:r>
        <w:rPr>
          <w:rFonts w:hint="eastAsia" w:ascii="宋体" w:hAnsi="宋体" w:cs="宋体"/>
          <w:color w:val="auto"/>
          <w:sz w:val="18"/>
          <w:szCs w:val="18"/>
          <w:highlight w:val="none"/>
          <w:lang w:val="zh-CN"/>
        </w:rPr>
        <w:t xml:space="preserve">5.</w:t>
      </w:r>
      <w:r>
        <w:rPr>
          <w:rFonts w:hint="eastAsia"/>
          <w:b/>
          <w:color w:val="auto"/>
          <w:sz w:val="18"/>
          <w:szCs w:val="18"/>
          <w:highlight w:val="none"/>
        </w:rPr>
        <w:t xml:space="preserve">本次招标共四个包，同一投标供应商可同时对四个包报名及投标，但只能中一个包。各包报价不得超过各包预算金额（最高限价），否则作为无效标处理。开标、评标、定标顺序为：包一、包二、包三、包四。如果投标供应商在前一个包评审中被推选为第一中标候选人，可继续参加后续包评审的评分，但不作为后续包评审的中标候选人第一名。</w:t>
      </w:r>
      <w:r/>
    </w:p>
    <w:p>
      <w:pPr>
        <w:spacing w:line="360" w:lineRule="auto"/>
        <w:rPr>
          <w:rFonts w:ascii="宋体" w:hAnsi="宋体" w:cs="宋体"/>
          <w:color w:val="auto"/>
          <w:sz w:val="18"/>
          <w:szCs w:val="18"/>
          <w:highlight w:val="none"/>
          <w:lang w:val="zh-CN"/>
        </w:rPr>
      </w:pPr>
      <w:r>
        <w:rPr>
          <w:rFonts w:hint="eastAsia" w:ascii="宋体" w:hAnsi="宋体" w:cs="宋体"/>
          <w:color w:val="auto"/>
          <w:sz w:val="18"/>
          <w:szCs w:val="18"/>
          <w:highlight w:val="none"/>
          <w:lang w:val="zh-CN"/>
        </w:rPr>
        <w:t xml:space="preserve">6. 采购标的对应的中小企业划分标准所属行业：</w:t>
      </w:r>
      <w:r>
        <w:rPr>
          <w:rFonts w:ascii="Helvetica" w:hAnsi="Helvetica"/>
          <w:color w:val="auto"/>
          <w:sz w:val="18"/>
          <w:szCs w:val="18"/>
          <w:highlight w:val="none"/>
          <w:shd w:val="clear" w:color="auto" w:fill="ffffff"/>
        </w:rPr>
        <w:t xml:space="preserve">其他未列明行业</w:t>
      </w:r>
      <w:r>
        <w:rPr>
          <w:rFonts w:hint="eastAsia" w:ascii="宋体" w:hAnsi="宋体" w:cs="宋体"/>
          <w:color w:val="auto"/>
          <w:sz w:val="18"/>
          <w:szCs w:val="18"/>
          <w:highlight w:val="none"/>
          <w:lang w:val="zh-CN"/>
        </w:rPr>
        <w:t xml:space="preserve">。</w:t>
      </w:r>
      <w:r/>
    </w:p>
    <w:p>
      <w:pPr>
        <w:rPr>
          <w:color w:val="auto"/>
          <w:sz w:val="24"/>
          <w:highlight w:val="none"/>
        </w:rPr>
      </w:pPr>
      <w:r>
        <w:rPr>
          <w:color w:val="auto"/>
          <w:sz w:val="24"/>
          <w:highlight w:val="none"/>
        </w:rPr>
      </w:r>
      <w:r/>
    </w:p>
    <w:p>
      <w:pPr>
        <w:pStyle w:val="875"/>
        <w:keepLines w:val="0"/>
        <w:keepNext w:val="0"/>
        <w:pageBreakBefore/>
        <w:spacing w:before="0" w:after="0" w:line="360" w:lineRule="auto"/>
        <w:rPr>
          <w:rStyle w:val="938"/>
          <w:rFonts w:ascii="黑体" w:hAnsi="黑体" w:eastAsia="黑体" w:cs="黑体"/>
          <w:b w:val="0"/>
          <w:bCs w:val="0"/>
          <w:color w:val="auto"/>
          <w:sz w:val="32"/>
          <w:szCs w:val="32"/>
          <w:highlight w:val="none"/>
          <w:lang w:val="zh-CN"/>
        </w:rPr>
      </w:pPr>
      <w:r/>
      <w:bookmarkStart w:id="33" w:name="_Toc21074"/>
      <w:r>
        <w:rPr>
          <w:rStyle w:val="938"/>
          <w:rFonts w:hint="eastAsia" w:ascii="黑体" w:hAnsi="黑体" w:eastAsia="黑体" w:cs="黑体"/>
          <w:b w:val="0"/>
          <w:bCs w:val="0"/>
          <w:color w:val="auto"/>
          <w:sz w:val="32"/>
          <w:szCs w:val="32"/>
          <w:highlight w:val="none"/>
        </w:rPr>
        <w:t xml:space="preserve">第四章 </w:t>
      </w:r>
      <w:r>
        <w:rPr>
          <w:rStyle w:val="938"/>
          <w:rFonts w:hint="eastAsia" w:ascii="黑体" w:hAnsi="黑体" w:eastAsia="黑体" w:cs="黑体"/>
          <w:b w:val="0"/>
          <w:bCs w:val="0"/>
          <w:color w:val="auto"/>
          <w:sz w:val="32"/>
          <w:szCs w:val="32"/>
          <w:highlight w:val="none"/>
          <w:lang w:val="zh-CN"/>
        </w:rPr>
        <w:t xml:space="preserve">招标项目的服务要求和数量等</w:t>
      </w:r>
      <w:bookmarkEnd w:id="33"/>
      <w:r/>
      <w:r/>
    </w:p>
    <w:p>
      <w:pPr>
        <w:jc w:val="left"/>
        <w:spacing w:line="360" w:lineRule="auto"/>
        <w:rPr>
          <w:rFonts w:ascii="宋体" w:hAnsi="宋体" w:cs="宋体"/>
          <w:b/>
          <w:color w:val="auto"/>
          <w:szCs w:val="21"/>
          <w:highlight w:val="none"/>
          <w:shd w:val="clear" w:color="auto" w:fill="ffffff"/>
        </w:rPr>
      </w:pPr>
      <w:r/>
      <w:bookmarkStart w:id="34" w:name="OLE_LINK51"/>
      <w:r/>
      <w:bookmarkStart w:id="35" w:name="OLE_LINK99"/>
      <w:r/>
      <w:bookmarkStart w:id="36" w:name="OLE_LINK87"/>
      <w:r/>
      <w:bookmarkStart w:id="37" w:name="_Toc68591178"/>
      <w:r>
        <w:rPr>
          <w:rFonts w:ascii="宋体" w:hAnsi="宋体" w:cs="宋体"/>
          <w:b/>
          <w:color w:val="auto"/>
          <w:szCs w:val="21"/>
          <w:highlight w:val="none"/>
          <w:shd w:val="clear" w:color="auto" w:fill="ffffff"/>
        </w:rPr>
        <w:t xml:space="preserve">一、招标内容及有关说明；</w:t>
      </w:r>
      <w:r/>
    </w:p>
    <w:p>
      <w:pPr>
        <w:jc w:val="left"/>
        <w:spacing w:line="360" w:lineRule="auto"/>
        <w:rPr>
          <w:rFonts w:ascii="宋体" w:hAnsi="宋体" w:cs="宋体"/>
          <w:color w:val="auto"/>
          <w:szCs w:val="21"/>
          <w:highlight w:val="none"/>
        </w:rPr>
      </w:pPr>
      <w:r>
        <w:rPr>
          <w:rFonts w:hint="eastAsia" w:ascii="宋体" w:hAnsi="宋体" w:cs="宋体"/>
          <w:b/>
          <w:color w:val="auto"/>
          <w:szCs w:val="21"/>
          <w:highlight w:val="none"/>
          <w:shd w:val="clear" w:color="auto" w:fill="ffffff"/>
        </w:rPr>
        <w:t xml:space="preserve">1.1项目名称：</w:t>
      </w:r>
      <w:r>
        <w:rPr>
          <w:rFonts w:hint="eastAsia" w:ascii="宋体" w:hAnsi="宋体" w:cs="宋体"/>
          <w:color w:val="auto"/>
          <w:szCs w:val="21"/>
          <w:highlight w:val="none"/>
        </w:rPr>
        <w:t xml:space="preserve">2026年度秦淮河河道堤防养护项目</w:t>
      </w:r>
      <w:r/>
    </w:p>
    <w:p>
      <w:pPr>
        <w:jc w:val="left"/>
        <w:spacing w:line="360" w:lineRule="auto"/>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 xml:space="preserve">1.2招标人：</w:t>
      </w:r>
      <w:r>
        <w:rPr>
          <w:rFonts w:hint="eastAsia" w:ascii="宋体" w:hAnsi="宋体" w:cs="宋体"/>
          <w:color w:val="auto"/>
          <w:szCs w:val="21"/>
          <w:highlight w:val="none"/>
        </w:rPr>
        <w:t xml:space="preserve">南京市秦淮河河道管理处</w:t>
      </w:r>
      <w:r/>
    </w:p>
    <w:p>
      <w:pPr>
        <w:spacing w:line="360" w:lineRule="auto"/>
        <w:rPr>
          <w:rFonts w:ascii="宋体" w:hAnsi="宋体" w:cs="宋体"/>
          <w:b/>
          <w:bCs/>
          <w:color w:val="auto"/>
          <w:szCs w:val="21"/>
          <w:highlight w:val="none"/>
        </w:rPr>
      </w:pPr>
      <w:r>
        <w:rPr>
          <w:rFonts w:ascii="宋体" w:hAnsi="宋体" w:cs="宋体"/>
          <w:b/>
          <w:color w:val="auto"/>
          <w:szCs w:val="21"/>
          <w:highlight w:val="none"/>
          <w:shd w:val="clear" w:color="auto" w:fill="ffffff"/>
        </w:rPr>
        <w:t xml:space="preserve">1.</w:t>
      </w:r>
      <w:r>
        <w:rPr>
          <w:rFonts w:hint="eastAsia" w:ascii="宋体" w:hAnsi="宋体" w:cs="宋体"/>
          <w:b/>
          <w:color w:val="auto"/>
          <w:szCs w:val="21"/>
          <w:highlight w:val="none"/>
          <w:shd w:val="clear" w:color="auto" w:fill="ffffff"/>
        </w:rPr>
        <w:t xml:space="preserve">3</w:t>
      </w:r>
      <w:r>
        <w:rPr>
          <w:rFonts w:hint="eastAsia" w:ascii="宋体" w:hAnsi="宋体" w:cs="宋体"/>
          <w:b/>
          <w:bCs/>
          <w:color w:val="auto"/>
          <w:szCs w:val="21"/>
          <w:highlight w:val="none"/>
        </w:rPr>
        <w:t xml:space="preserve">项目概况与招标范围</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1.3.1工程地点：</w:t>
      </w:r>
      <w:r>
        <w:rPr>
          <w:rFonts w:hint="eastAsia" w:ascii="宋体" w:hAnsi="宋体" w:cs="宋体"/>
          <w:color w:val="auto"/>
          <w:szCs w:val="21"/>
          <w:highlight w:val="none"/>
        </w:rPr>
        <w:t xml:space="preserve">秦淮河东山大桥（0+000）至运粮河口（8+250）及秦淮新河新老河口（0+000）至河定桥（0+350）、</w:t>
      </w:r>
      <w:r>
        <w:rPr>
          <w:rFonts w:hint="eastAsia"/>
          <w:color w:val="auto"/>
          <w:szCs w:val="21"/>
          <w:highlight w:val="none"/>
        </w:rPr>
        <w:t xml:space="preserve">秦淮新河河定桥（0+350）至红庙桥（8+850）、秦淮新河红庙桥（8+850）至秦淮新河节制闸（15+130）</w:t>
      </w:r>
      <w:r>
        <w:rPr>
          <w:rFonts w:ascii="宋体" w:hAnsi="宋体" w:cs="宋体"/>
          <w:color w:val="auto"/>
          <w:szCs w:val="21"/>
          <w:highlight w:val="none"/>
        </w:rPr>
        <w:t xml:space="preserve">，全长约</w:t>
      </w:r>
      <w:r>
        <w:rPr>
          <w:rFonts w:hint="eastAsia" w:ascii="宋体" w:hAnsi="宋体" w:cs="宋体"/>
          <w:color w:val="auto"/>
          <w:szCs w:val="21"/>
          <w:highlight w:val="none"/>
        </w:rPr>
        <w:t xml:space="preserve">46.76公里，</w:t>
      </w:r>
      <w:r>
        <w:rPr>
          <w:rFonts w:ascii="宋体" w:hAnsi="宋体" w:cs="宋体"/>
          <w:color w:val="auto"/>
          <w:szCs w:val="21"/>
          <w:highlight w:val="none"/>
        </w:rPr>
        <w:t xml:space="preserve">根据《南京市防洪堤保护管理条例》规定及河道管理范围划定</w:t>
      </w:r>
      <w:r>
        <w:rPr>
          <w:rFonts w:hint="eastAsia" w:ascii="宋体" w:hAnsi="宋体" w:cs="宋体"/>
          <w:color w:val="auto"/>
          <w:szCs w:val="21"/>
          <w:highlight w:val="none"/>
        </w:rPr>
        <w:t xml:space="preserve">，</w:t>
      </w:r>
      <w:r>
        <w:rPr>
          <w:rFonts w:ascii="宋体" w:hAnsi="宋体" w:cs="宋体"/>
          <w:color w:val="auto"/>
          <w:szCs w:val="21"/>
          <w:highlight w:val="none"/>
        </w:rPr>
        <w:t xml:space="preserve">对上述范围内地方进行巡查、养护等。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1.3.2主要内容：</w:t>
      </w:r>
      <w:r>
        <w:rPr>
          <w:rFonts w:ascii="宋体" w:hAnsi="宋体" w:cs="宋体"/>
          <w:color w:val="auto"/>
          <w:szCs w:val="21"/>
          <w:highlight w:val="none"/>
          <w:shd w:val="clear" w:color="auto" w:fill="ffffff"/>
        </w:rPr>
        <w:t xml:space="preserve">本次招标共分为</w:t>
      </w:r>
      <w:r>
        <w:rPr>
          <w:rFonts w:hint="eastAsia" w:ascii="宋体" w:hAnsi="宋体" w:cs="宋体"/>
          <w:color w:val="auto"/>
          <w:szCs w:val="21"/>
          <w:highlight w:val="none"/>
          <w:shd w:val="clear" w:color="auto" w:fill="ffffff"/>
        </w:rPr>
        <w:t xml:space="preserve">四个包</w:t>
      </w:r>
      <w:r>
        <w:rPr>
          <w:rFonts w:ascii="宋体" w:hAnsi="宋体" w:cs="宋体"/>
          <w:color w:val="auto"/>
          <w:szCs w:val="21"/>
          <w:highlight w:val="none"/>
          <w:shd w:val="clear" w:color="auto" w:fill="ffffff"/>
        </w:rPr>
        <w:t xml:space="preserve">；</w:t>
      </w:r>
      <w:r/>
    </w:p>
    <w:p>
      <w:pPr>
        <w:ind w:left="210"/>
        <w:jc w:val="left"/>
        <w:spacing w:line="360" w:lineRule="auto"/>
        <w:rPr>
          <w:color w:val="auto"/>
          <w:szCs w:val="21"/>
          <w:highlight w:val="none"/>
        </w:rPr>
      </w:pPr>
      <w:r>
        <w:rPr>
          <w:rFonts w:hint="eastAsia"/>
          <w:color w:val="auto"/>
          <w:szCs w:val="21"/>
          <w:highlight w:val="none"/>
        </w:rPr>
        <w:t xml:space="preserve">包一：</w:t>
      </w:r>
      <w:r>
        <w:rPr>
          <w:rFonts w:hint="eastAsia" w:ascii="宋体" w:hAnsi="宋体" w:cs="宋体"/>
          <w:color w:val="auto"/>
          <w:szCs w:val="21"/>
          <w:highlight w:val="none"/>
        </w:rPr>
        <w:t xml:space="preserve">秦淮河东山大桥（0+000）至运粮河口（8+250）及秦淮新河新老河口（0+000）至河定桥（0+350），总计17.2公里堤防巡查、养护等</w:t>
      </w:r>
      <w:r>
        <w:rPr>
          <w:rFonts w:hint="eastAsia"/>
          <w:color w:val="auto"/>
          <w:szCs w:val="21"/>
          <w:highlight w:val="none"/>
        </w:rPr>
        <w:t xml:space="preserve">；</w:t>
      </w:r>
      <w:r/>
    </w:p>
    <w:p>
      <w:pPr>
        <w:ind w:firstLine="210"/>
        <w:jc w:val="left"/>
        <w:spacing w:line="360" w:lineRule="auto"/>
        <w:rPr>
          <w:color w:val="auto"/>
          <w:szCs w:val="21"/>
          <w:highlight w:val="none"/>
        </w:rPr>
      </w:pPr>
      <w:r>
        <w:rPr>
          <w:rFonts w:hint="eastAsia"/>
          <w:color w:val="auto"/>
          <w:szCs w:val="21"/>
          <w:highlight w:val="none"/>
        </w:rPr>
        <w:t xml:space="preserve">包二：秦淮新河河定桥（0+350）至红庙桥（8+850），总计17公里堤防巡查、养护等；</w:t>
      </w:r>
      <w:r/>
    </w:p>
    <w:p>
      <w:pPr>
        <w:ind w:left="210"/>
        <w:jc w:val="left"/>
        <w:spacing w:line="360" w:lineRule="auto"/>
        <w:rPr>
          <w:color w:val="auto"/>
          <w:szCs w:val="21"/>
          <w:highlight w:val="none"/>
        </w:rPr>
      </w:pPr>
      <w:r>
        <w:rPr>
          <w:rFonts w:hint="eastAsia"/>
          <w:color w:val="auto"/>
          <w:szCs w:val="21"/>
          <w:highlight w:val="none"/>
        </w:rPr>
        <w:t xml:space="preserve">包三：秦淮新河红庙桥（8+850）至秦淮新河节制闸（15+130），总计12.56公里堤防巡查、养护等；</w:t>
      </w:r>
      <w:r/>
    </w:p>
    <w:p>
      <w:pPr>
        <w:ind w:left="210"/>
        <w:jc w:val="left"/>
        <w:spacing w:line="360" w:lineRule="auto"/>
        <w:rPr>
          <w:color w:val="auto"/>
          <w:szCs w:val="21"/>
          <w:highlight w:val="none"/>
        </w:rPr>
      </w:pPr>
      <w:r>
        <w:rPr>
          <w:rFonts w:hint="eastAsia"/>
          <w:color w:val="auto"/>
          <w:szCs w:val="21"/>
          <w:highlight w:val="none"/>
        </w:rPr>
        <w:t xml:space="preserve">包四：秦淮新河新老河口（0+000）至秦淮新河节制闸（15+050）和秦淮河东山桥（0+000）至运粮河口（8+250）总计约30.4公里堤防防护林养护（不含七桥瓮湿地公园约2公里、东山桥至宏运大道桥右岸1.3公里、秦淮新河河定桥至将军路桥左右岸约6公里、铁心桥至三江学院左右岸约2.5公里、西善桥至新河闸左右岸约3公里）及秦淮河河道管理处院内（不含办公区）约120亩林木抚育、养护、巡查等工作。</w:t>
      </w:r>
      <w:r/>
    </w:p>
    <w:p>
      <w:pPr>
        <w:ind w:left="210"/>
        <w:jc w:val="left"/>
        <w:spacing w:line="360" w:lineRule="auto"/>
        <w:rPr>
          <w:b/>
          <w:color w:val="auto"/>
          <w:szCs w:val="21"/>
          <w:highlight w:val="none"/>
        </w:rPr>
      </w:pPr>
      <w:r>
        <w:rPr>
          <w:rFonts w:hint="eastAsia"/>
          <w:b/>
          <w:color w:val="auto"/>
          <w:szCs w:val="21"/>
          <w:highlight w:val="none"/>
        </w:rPr>
        <w:t xml:space="preserve">本次招标共四个包，同一投标供应商可同时对四个包报名及投标，但只能中一个包。各包报价不得超过各包预算金额（最高限价），否则作为无效标处理。开标、评标、定标顺序为：包一、包二、包三、包四。如果投标供应商在前一个包评审中被推选为第一中标候选人，可继续参加后续包评审的评分，但不作为后续包评审的中标候选人第一名。</w:t>
      </w:r>
      <w:r/>
    </w:p>
    <w:p>
      <w:pPr>
        <w:jc w:val="left"/>
        <w:spacing w:line="360" w:lineRule="auto"/>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t xml:space="preserve">二、养护范围与工程量清单</w:t>
      </w:r>
      <w:r/>
    </w:p>
    <w:p>
      <w:pPr>
        <w:spacing w:line="360" w:lineRule="auto"/>
        <w:rPr>
          <w:rFonts w:ascii="仿宋" w:hAnsi="仿宋" w:eastAsia="仿宋"/>
          <w:color w:val="auto"/>
          <w:szCs w:val="21"/>
          <w:highlight w:val="none"/>
        </w:rPr>
      </w:pPr>
      <w:r>
        <w:rPr>
          <w:rFonts w:hint="eastAsia" w:ascii="仿宋" w:hAnsi="仿宋" w:eastAsia="仿宋"/>
          <w:b/>
          <w:bCs/>
          <w:color w:val="auto"/>
          <w:szCs w:val="21"/>
          <w:highlight w:val="none"/>
        </w:rPr>
        <w:t xml:space="preserve">包一</w:t>
      </w:r>
      <w:r>
        <w:rPr>
          <w:rFonts w:hint="eastAsia" w:ascii="仿宋" w:hAnsi="仿宋" w:eastAsia="仿宋"/>
          <w:color w:val="auto"/>
          <w:szCs w:val="21"/>
          <w:highlight w:val="none"/>
        </w:rPr>
        <w:t xml:space="preserve">：</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1、养护起讫点：秦淮河东山大桥（0+000）至运粮河口（8+250）及秦淮新河新老河口（0+000）至河定桥（0+350），总计17.2公里堤防养护。</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2.河道堤防养护范围：河道的管理范围为河道堤防养护范围（含临水岸水位变幅区），巡查含河道保护范围内巡查。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秦淮河、秦淮新河管理范围：执行宁水办运管【2019】206号文中规定的范围；</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保护范围为管理范围外40米。</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仿宋" w:hAnsi="仿宋" w:eastAsia="仿宋"/>
          <w:b/>
          <w:bCs/>
          <w:color w:val="auto"/>
          <w:szCs w:val="21"/>
          <w:highlight w:val="none"/>
        </w:rPr>
      </w:pPr>
      <w:r>
        <w:rPr>
          <w:rFonts w:ascii="仿宋" w:hAnsi="仿宋" w:eastAsia="仿宋"/>
          <w:b/>
          <w:bCs/>
          <w:color w:val="auto"/>
          <w:szCs w:val="21"/>
          <w:highlight w:val="none"/>
        </w:rPr>
      </w:r>
      <w:r/>
    </w:p>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表一：人员要求表</w:t>
      </w:r>
      <w:r/>
    </w:p>
    <w:p>
      <w:pPr>
        <w:jc w:val="center"/>
        <w:rPr>
          <w:rFonts w:ascii="宋体" w:hAnsi="宋体"/>
          <w:color w:val="auto"/>
          <w:szCs w:val="21"/>
          <w:highlight w:val="none"/>
        </w:rPr>
      </w:pPr>
      <w:r>
        <w:rPr>
          <w:rFonts w:hint="eastAsia" w:ascii="宋体" w:hAnsi="宋体"/>
          <w:color w:val="auto"/>
          <w:szCs w:val="21"/>
          <w:highlight w:val="none"/>
        </w:rPr>
        <w:t xml:space="preserve">（要求供应商投入人员不低于下表要求）</w:t>
      </w:r>
      <w:r/>
    </w:p>
    <w:tbl>
      <w:tblPr>
        <w:tblStyle w:val="88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3381"/>
        <w:gridCol w:w="1840"/>
        <w:gridCol w:w="1850"/>
        <w:gridCol w:w="1848"/>
      </w:tblGrid>
      <w:tr>
        <w:trPr>
          <w:jc w:val="center"/>
          <w:trHeight w:val="436" w:hRule="exact"/>
        </w:trPr>
        <w:tc>
          <w:tcPr>
            <w:tcW w:w="482" w:type="pct"/>
            <w:vAlign w:val="center"/>
            <w:textDirection w:val="lrTb"/>
            <w:noWrap w:val="false"/>
          </w:tcPr>
          <w:p>
            <w:pPr>
              <w:jc w:val="center"/>
              <w:rPr>
                <w:rFonts w:ascii="宋体" w:hAnsi="宋体"/>
                <w:b/>
                <w:bCs/>
                <w:color w:val="auto"/>
                <w:szCs w:val="21"/>
                <w:highlight w:val="none"/>
              </w:rPr>
            </w:pPr>
            <w:r/>
            <w:bookmarkStart w:id="38" w:name="_Hlk127452843"/>
            <w:r>
              <w:rPr>
                <w:rFonts w:hint="eastAsia" w:ascii="宋体" w:hAnsi="宋体"/>
                <w:b/>
                <w:bCs/>
                <w:color w:val="auto"/>
                <w:szCs w:val="21"/>
                <w:highlight w:val="none"/>
              </w:rPr>
              <w:t xml:space="preserve">序号</w:t>
            </w:r>
            <w:r/>
          </w:p>
        </w:tc>
        <w:tc>
          <w:tcPr>
            <w:tcW w:w="1713"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名 称</w:t>
            </w:r>
            <w:r/>
          </w:p>
        </w:tc>
        <w:tc>
          <w:tcPr>
            <w:tcW w:w="932"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单位</w:t>
            </w:r>
            <w:r/>
          </w:p>
        </w:tc>
        <w:tc>
          <w:tcPr>
            <w:tcW w:w="937"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数量</w:t>
            </w:r>
            <w:r/>
          </w:p>
        </w:tc>
        <w:tc>
          <w:tcPr>
            <w:tcW w:w="936"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备注</w:t>
            </w:r>
            <w:r/>
          </w:p>
        </w:tc>
      </w:tr>
      <w:tr>
        <w:trPr>
          <w:jc w:val="center"/>
          <w:trHeight w:val="312"/>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管理人员（含项目负责人）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人</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936" w:type="pct"/>
            <w:vAlign w:val="center"/>
            <w:vMerge w:val="restart"/>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养护人员</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人</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22</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绿化工</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人</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安全员</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人</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bookmarkEnd w:id="38"/>
            <w:r/>
            <w:r/>
          </w:p>
        </w:tc>
      </w:tr>
    </w:tbl>
    <w:p>
      <w:pPr>
        <w:jc w:val="center"/>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表二：设备要求表</w:t>
      </w:r>
      <w:r/>
    </w:p>
    <w:p>
      <w:pPr>
        <w:jc w:val="center"/>
        <w:rPr>
          <w:rFonts w:ascii="宋体" w:hAnsi="宋体"/>
          <w:color w:val="auto"/>
          <w:szCs w:val="21"/>
          <w:highlight w:val="none"/>
        </w:rPr>
      </w:pPr>
      <w:r>
        <w:rPr>
          <w:rFonts w:hint="eastAsia" w:ascii="宋体" w:hAnsi="宋体"/>
          <w:color w:val="auto"/>
          <w:szCs w:val="21"/>
          <w:highlight w:val="none"/>
        </w:rPr>
        <w:t xml:space="preserve">（要求供应商投入设备不低于下表要求）</w:t>
      </w:r>
      <w:r/>
    </w:p>
    <w:tbl>
      <w:tblPr>
        <w:tblStyle w:val="88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3381"/>
        <w:gridCol w:w="1840"/>
        <w:gridCol w:w="1850"/>
        <w:gridCol w:w="1848"/>
      </w:tblGrid>
      <w:tr>
        <w:trPr>
          <w:jc w:val="center"/>
          <w:trHeight w:val="436" w:hRule="exact"/>
        </w:trPr>
        <w:tc>
          <w:tcPr>
            <w:tcW w:w="482"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序号</w:t>
            </w:r>
            <w:r/>
          </w:p>
        </w:tc>
        <w:tc>
          <w:tcPr>
            <w:tcW w:w="1713"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名 称</w:t>
            </w:r>
            <w:r/>
          </w:p>
        </w:tc>
        <w:tc>
          <w:tcPr>
            <w:tcW w:w="932"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单位</w:t>
            </w:r>
            <w:r/>
          </w:p>
        </w:tc>
        <w:tc>
          <w:tcPr>
            <w:tcW w:w="937"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数量</w:t>
            </w:r>
            <w:r/>
          </w:p>
        </w:tc>
        <w:tc>
          <w:tcPr>
            <w:tcW w:w="936"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备注</w:t>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巡查车辆</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辆</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0" w:type="auto"/>
            <w:vAlign w:val="center"/>
            <w:vMerge w:val="restart"/>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运输车辆</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辆</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洒水车</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辆</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电动保洁三轮车</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辆</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摄像器材（含手机）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套</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割灌机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台</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吹风机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台</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8</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绿篱机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台</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打药机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台</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油锯</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套</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b/>
          <w:bCs/>
          <w:color w:val="auto"/>
          <w:szCs w:val="21"/>
          <w:highlight w:val="none"/>
        </w:rPr>
      </w:pPr>
      <w:r>
        <w:rPr>
          <w:rFonts w:ascii="宋体" w:hAnsi="宋体"/>
          <w:b/>
          <w:bCs/>
          <w:color w:val="auto"/>
          <w:szCs w:val="21"/>
          <w:highlight w:val="none"/>
        </w:rPr>
      </w:r>
      <w:r/>
    </w:p>
    <w:p>
      <w:pPr>
        <w:ind w:firstLine="422"/>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表三：工程量清单</w:t>
      </w:r>
      <w:r/>
    </w:p>
    <w:tbl>
      <w:tblPr>
        <w:tblStyle w:val="88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3381"/>
        <w:gridCol w:w="1840"/>
        <w:gridCol w:w="1850"/>
        <w:gridCol w:w="1848"/>
      </w:tblGrid>
      <w:tr>
        <w:trPr>
          <w:jc w:val="center"/>
          <w:trHeight w:val="436" w:hRule="exact"/>
        </w:trPr>
        <w:tc>
          <w:tcPr>
            <w:tcW w:w="482"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序号</w:t>
            </w:r>
            <w:r/>
          </w:p>
        </w:tc>
        <w:tc>
          <w:tcPr>
            <w:tcW w:w="1713"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名 称</w:t>
            </w:r>
            <w:r/>
          </w:p>
        </w:tc>
        <w:tc>
          <w:tcPr>
            <w:tcW w:w="932"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单位</w:t>
            </w:r>
            <w:r/>
          </w:p>
        </w:tc>
        <w:tc>
          <w:tcPr>
            <w:tcW w:w="937"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工程量</w:t>
            </w:r>
            <w:r/>
          </w:p>
        </w:tc>
        <w:tc>
          <w:tcPr>
            <w:tcW w:w="936"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备注</w:t>
            </w:r>
            <w:r/>
          </w:p>
        </w:tc>
      </w:tr>
      <w:tr>
        <w:trPr>
          <w:jc w:val="center"/>
          <w:trHeight w:val="312"/>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生物防护草皮养护</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m2</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474000</w:t>
            </w:r>
            <w:r/>
          </w:p>
        </w:tc>
        <w:tc>
          <w:tcPr>
            <w:tcW w:w="936" w:type="pct"/>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详细内容及要求见“四、养护工作要求”</w:t>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杂树灌木修整</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m2</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15800</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环境保洁</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m2</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725092</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砼护坡坡面养护</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m2</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20000</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排水沟养护</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0</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巡查便道养护</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15000</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标志标牌养护</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块</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193</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8</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界碑界牌里程桩养护</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块</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374</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限高杆、限宽墩、限行标志养护</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个</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8</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升降桩</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处</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11</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汛后亲水平台淤泥清理</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m2</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26000</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12</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亲水平台步行道芦苇荡清理</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m2</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20000</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bl>
    <w:p>
      <w:pPr>
        <w:jc w:val="left"/>
        <w:spacing w:line="360" w:lineRule="exact"/>
        <w:rPr>
          <w:rFonts w:ascii="宋体" w:hAnsi="宋体"/>
          <w:b/>
          <w:color w:val="auto"/>
          <w:szCs w:val="21"/>
          <w:highlight w:val="none"/>
        </w:rPr>
      </w:pPr>
      <w:r>
        <w:rPr>
          <w:rFonts w:hint="eastAsia" w:ascii="宋体" w:hAnsi="宋体"/>
          <w:b/>
          <w:color w:val="auto"/>
          <w:szCs w:val="21"/>
          <w:highlight w:val="none"/>
        </w:rPr>
        <w:t xml:space="preserve">注：1、以上工程量均为估算工程量，供供应商参考，具体实际养护工程量以实际踏勘为准。</w:t>
      </w:r>
      <w:r/>
    </w:p>
    <w:p>
      <w:pPr>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包二 ：</w:t>
      </w:r>
      <w:r>
        <w:rPr>
          <w:rFonts w:ascii="宋体" w:hAnsi="宋体"/>
          <w:b/>
          <w:bCs/>
          <w:color w:val="auto"/>
          <w:szCs w:val="21"/>
          <w:highlight w:val="none"/>
        </w:rPr>
        <w:t xml:space="preserve"> </w:t>
      </w:r>
      <w:r/>
    </w:p>
    <w:p>
      <w:pPr>
        <w:spacing w:line="360" w:lineRule="auto"/>
        <w:rPr>
          <w:rFonts w:ascii="宋体" w:hAnsi="宋体"/>
          <w:color w:val="auto"/>
          <w:szCs w:val="21"/>
          <w:highlight w:val="none"/>
        </w:rPr>
      </w:pPr>
      <w:r>
        <w:rPr>
          <w:rFonts w:hint="eastAsia" w:ascii="宋体" w:hAnsi="宋体"/>
          <w:b/>
          <w:color w:val="auto"/>
          <w:szCs w:val="21"/>
          <w:highlight w:val="none"/>
        </w:rPr>
        <w:t xml:space="preserve">1、养护起讫点：</w:t>
      </w:r>
      <w:r>
        <w:rPr>
          <w:rFonts w:hint="eastAsia" w:ascii="宋体" w:hAnsi="宋体"/>
          <w:bCs/>
          <w:color w:val="auto"/>
          <w:szCs w:val="21"/>
          <w:highlight w:val="none"/>
        </w:rPr>
        <w:t xml:space="preserve">秦淮河河定桥（0+350）至秦淮新河红庙桥（8+850），总计17公里。</w:t>
      </w:r>
      <w:r/>
    </w:p>
    <w:p>
      <w:pPr>
        <w:spacing w:line="360" w:lineRule="auto"/>
        <w:rPr>
          <w:rFonts w:ascii="宋体" w:hAnsi="宋体"/>
          <w:color w:val="auto"/>
          <w:szCs w:val="21"/>
          <w:highlight w:val="none"/>
        </w:rPr>
      </w:pPr>
      <w:r>
        <w:rPr>
          <w:rFonts w:hint="eastAsia" w:ascii="宋体" w:hAnsi="宋体"/>
          <w:b/>
          <w:color w:val="auto"/>
          <w:szCs w:val="21"/>
          <w:highlight w:val="none"/>
        </w:rPr>
        <w:t xml:space="preserve">2.河道堤防养护范围</w:t>
      </w:r>
      <w:r>
        <w:rPr>
          <w:rFonts w:hint="eastAsia" w:ascii="宋体" w:hAnsi="宋体"/>
          <w:color w:val="auto"/>
          <w:szCs w:val="21"/>
          <w:highlight w:val="none"/>
        </w:rPr>
        <w:t xml:space="preserve">：河道的管理范围为河道堤防养护范围（含临水岸水位变幅区），巡查含河道保护范围内巡查。</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秦淮河、秦淮新河管理范围：执行宁水办运管【2019】206号文中规定的范围；</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保护范围为管理范围外40米。</w:t>
      </w:r>
      <w:r/>
    </w:p>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表一：人员要求表</w:t>
      </w:r>
      <w:r/>
    </w:p>
    <w:p>
      <w:pPr>
        <w:jc w:val="center"/>
        <w:rPr>
          <w:rFonts w:ascii="宋体" w:hAnsi="宋体"/>
          <w:color w:val="auto"/>
          <w:szCs w:val="21"/>
          <w:highlight w:val="none"/>
        </w:rPr>
      </w:pPr>
      <w:r>
        <w:rPr>
          <w:rFonts w:hint="eastAsia" w:ascii="宋体" w:hAnsi="宋体"/>
          <w:color w:val="auto"/>
          <w:szCs w:val="21"/>
          <w:highlight w:val="none"/>
        </w:rPr>
        <w:t xml:space="preserve">（要求供应商投入人员不低于下表要求）</w:t>
      </w:r>
      <w:r/>
    </w:p>
    <w:tbl>
      <w:tblPr>
        <w:tblStyle w:val="88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3381"/>
        <w:gridCol w:w="1840"/>
        <w:gridCol w:w="1850"/>
        <w:gridCol w:w="1848"/>
      </w:tblGrid>
      <w:tr>
        <w:trPr>
          <w:jc w:val="center"/>
          <w:trHeight w:val="436" w:hRule="exact"/>
        </w:trPr>
        <w:tc>
          <w:tcPr>
            <w:tcW w:w="482"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序号</w:t>
            </w:r>
            <w:r/>
          </w:p>
        </w:tc>
        <w:tc>
          <w:tcPr>
            <w:tcW w:w="1713"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名 称</w:t>
            </w:r>
            <w:r/>
          </w:p>
        </w:tc>
        <w:tc>
          <w:tcPr>
            <w:tcW w:w="932"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单位</w:t>
            </w:r>
            <w:r/>
          </w:p>
        </w:tc>
        <w:tc>
          <w:tcPr>
            <w:tcW w:w="937"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数量</w:t>
            </w:r>
            <w:r/>
          </w:p>
        </w:tc>
        <w:tc>
          <w:tcPr>
            <w:tcW w:w="936"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备注</w:t>
            </w:r>
            <w:r/>
          </w:p>
        </w:tc>
      </w:tr>
      <w:tr>
        <w:trPr>
          <w:jc w:val="center"/>
          <w:trHeight w:val="312"/>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管理人员（含项目负责人）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人</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936" w:type="pct"/>
            <w:vAlign w:val="center"/>
            <w:vMerge w:val="restart"/>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养护人员</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人</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22</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绿化工</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人</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安全员</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人</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bl>
    <w:p>
      <w:pPr>
        <w:jc w:val="center"/>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表二：设备要求表</w:t>
      </w:r>
      <w:r/>
    </w:p>
    <w:p>
      <w:pPr>
        <w:jc w:val="center"/>
        <w:rPr>
          <w:rFonts w:ascii="宋体" w:hAnsi="宋体"/>
          <w:color w:val="auto"/>
          <w:szCs w:val="21"/>
          <w:highlight w:val="none"/>
        </w:rPr>
      </w:pPr>
      <w:r>
        <w:rPr>
          <w:rFonts w:hint="eastAsia" w:ascii="宋体" w:hAnsi="宋体"/>
          <w:color w:val="auto"/>
          <w:szCs w:val="21"/>
          <w:highlight w:val="none"/>
        </w:rPr>
        <w:t xml:space="preserve">（要求供应商投入设备不低于下表要求）</w:t>
      </w:r>
      <w:r/>
    </w:p>
    <w:tbl>
      <w:tblPr>
        <w:tblStyle w:val="88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3381"/>
        <w:gridCol w:w="1840"/>
        <w:gridCol w:w="1850"/>
        <w:gridCol w:w="1848"/>
      </w:tblGrid>
      <w:tr>
        <w:trPr>
          <w:jc w:val="center"/>
          <w:trHeight w:val="436" w:hRule="exact"/>
        </w:trPr>
        <w:tc>
          <w:tcPr>
            <w:tcW w:w="482"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序号</w:t>
            </w:r>
            <w:r/>
          </w:p>
        </w:tc>
        <w:tc>
          <w:tcPr>
            <w:tcW w:w="1713"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名 称</w:t>
            </w:r>
            <w:r/>
          </w:p>
        </w:tc>
        <w:tc>
          <w:tcPr>
            <w:tcW w:w="932"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单位</w:t>
            </w:r>
            <w:r/>
          </w:p>
        </w:tc>
        <w:tc>
          <w:tcPr>
            <w:tcW w:w="937"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数量</w:t>
            </w:r>
            <w:r/>
          </w:p>
        </w:tc>
        <w:tc>
          <w:tcPr>
            <w:tcW w:w="936"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备注</w:t>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巡查车辆</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辆</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0" w:type="auto"/>
            <w:vAlign w:val="center"/>
            <w:vMerge w:val="restart"/>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运输车辆</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辆</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洒水车</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辆</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电动保洁三轮车</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辆</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摄像器材（含手机）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套</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割灌机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台</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吹风机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台</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8</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绿篱机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台</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0" w:type="auto"/>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打药机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台</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0" w:type="auto"/>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油锯</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套</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0" w:type="auto"/>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bl>
    <w:p>
      <w:pPr>
        <w:ind w:firstLine="422"/>
        <w:jc w:val="center"/>
        <w:spacing w:line="360" w:lineRule="auto"/>
        <w:rPr>
          <w:rFonts w:ascii="宋体" w:hAnsi="宋体"/>
          <w:b/>
          <w:color w:val="auto"/>
          <w:szCs w:val="21"/>
          <w:highlight w:val="none"/>
        </w:rPr>
      </w:pPr>
      <w:r>
        <w:rPr>
          <w:rFonts w:ascii="宋体" w:hAnsi="宋体"/>
          <w:b/>
          <w:color w:val="auto"/>
          <w:szCs w:val="21"/>
          <w:highlight w:val="none"/>
        </w:rPr>
      </w:r>
      <w:r/>
    </w:p>
    <w:p>
      <w:pPr>
        <w:ind w:firstLine="2319"/>
        <w:spacing w:line="360" w:lineRule="auto"/>
        <w:rPr>
          <w:rFonts w:ascii="宋体" w:hAnsi="宋体"/>
          <w:b/>
          <w:color w:val="auto"/>
          <w:szCs w:val="21"/>
          <w:highlight w:val="none"/>
        </w:rPr>
      </w:pPr>
      <w:r>
        <w:rPr>
          <w:rFonts w:hint="eastAsia" w:ascii="宋体" w:hAnsi="宋体"/>
          <w:b/>
          <w:color w:val="auto"/>
          <w:szCs w:val="21"/>
          <w:highlight w:val="none"/>
        </w:rPr>
        <w:t xml:space="preserve">表三：工程量清单</w:t>
      </w:r>
      <w:r/>
    </w:p>
    <w:tbl>
      <w:tblPr>
        <w:tblStyle w:val="885"/>
        <w:tblW w:w="51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7"/>
        <w:gridCol w:w="3266"/>
        <w:gridCol w:w="1840"/>
        <w:gridCol w:w="1844"/>
        <w:gridCol w:w="1976"/>
      </w:tblGrid>
      <w:tr>
        <w:trPr>
          <w:jc w:val="center"/>
          <w:trHeight w:val="436" w:hRule="exact"/>
        </w:trPr>
        <w:tc>
          <w:tcPr>
            <w:tcW w:w="591"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序号</w:t>
            </w:r>
            <w:r/>
          </w:p>
        </w:tc>
        <w:tc>
          <w:tcPr>
            <w:tcW w:w="1613"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名 称</w:t>
            </w:r>
            <w:r/>
          </w:p>
        </w:tc>
        <w:tc>
          <w:tcPr>
            <w:tcW w:w="909"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单位</w:t>
            </w:r>
            <w:r/>
          </w:p>
        </w:tc>
        <w:tc>
          <w:tcPr>
            <w:tcW w:w="911"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工程量</w:t>
            </w:r>
            <w:r/>
          </w:p>
        </w:tc>
        <w:tc>
          <w:tcPr>
            <w:tcW w:w="976"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备注</w:t>
            </w:r>
            <w:r/>
          </w:p>
        </w:tc>
      </w:tr>
      <w:tr>
        <w:trPr>
          <w:jc w:val="center"/>
          <w:trHeight w:val="312"/>
        </w:trPr>
        <w:tc>
          <w:tcPr>
            <w:tcW w:w="591"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6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生物防护草皮养护</w:t>
            </w:r>
            <w:r/>
          </w:p>
        </w:tc>
        <w:tc>
          <w:tcPr>
            <w:tcW w:w="90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m2</w:t>
            </w:r>
            <w:r/>
          </w:p>
        </w:tc>
        <w:tc>
          <w:tcPr>
            <w:tcW w:w="911"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663000</w:t>
            </w:r>
            <w:r/>
          </w:p>
        </w:tc>
        <w:tc>
          <w:tcPr>
            <w:tcW w:w="976" w:type="pct"/>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详细内容及要求见“四、养护工作要求”</w:t>
            </w:r>
            <w:r/>
          </w:p>
        </w:tc>
      </w:tr>
      <w:tr>
        <w:trPr>
          <w:jc w:val="center"/>
          <w:trHeight w:val="312" w:hRule="exact"/>
        </w:trPr>
        <w:tc>
          <w:tcPr>
            <w:tcW w:w="591"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16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杂树灌木修整</w:t>
            </w:r>
            <w:r/>
          </w:p>
        </w:tc>
        <w:tc>
          <w:tcPr>
            <w:tcW w:w="90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m2</w:t>
            </w:r>
            <w:r/>
          </w:p>
        </w:tc>
        <w:tc>
          <w:tcPr>
            <w:tcW w:w="911"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16000</w:t>
            </w:r>
            <w:r/>
          </w:p>
        </w:tc>
        <w:tc>
          <w:tcPr>
            <w:tcW w:w="976" w:type="pct"/>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591"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6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环境保洁</w:t>
            </w:r>
            <w:r/>
          </w:p>
        </w:tc>
        <w:tc>
          <w:tcPr>
            <w:tcW w:w="90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m2</w:t>
            </w:r>
            <w:r/>
          </w:p>
        </w:tc>
        <w:tc>
          <w:tcPr>
            <w:tcW w:w="911"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932482</w:t>
            </w:r>
            <w:r/>
          </w:p>
        </w:tc>
        <w:tc>
          <w:tcPr>
            <w:tcW w:w="976" w:type="pct"/>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591"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16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砼护坡坡面养护</w:t>
            </w:r>
            <w:r/>
          </w:p>
        </w:tc>
        <w:tc>
          <w:tcPr>
            <w:tcW w:w="90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m2</w:t>
            </w:r>
            <w:r/>
          </w:p>
        </w:tc>
        <w:tc>
          <w:tcPr>
            <w:tcW w:w="911"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120800</w:t>
            </w:r>
            <w:r/>
          </w:p>
        </w:tc>
        <w:tc>
          <w:tcPr>
            <w:tcW w:w="976" w:type="pct"/>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591"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16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排水沟养护</w:t>
            </w:r>
            <w:r/>
          </w:p>
        </w:tc>
        <w:tc>
          <w:tcPr>
            <w:tcW w:w="90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w:t>
            </w:r>
            <w:r/>
          </w:p>
        </w:tc>
        <w:tc>
          <w:tcPr>
            <w:tcW w:w="911"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14240</w:t>
            </w:r>
            <w:r/>
          </w:p>
        </w:tc>
        <w:tc>
          <w:tcPr>
            <w:tcW w:w="976" w:type="pct"/>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591"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16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巡查便道养护</w:t>
            </w:r>
            <w:r/>
          </w:p>
        </w:tc>
        <w:tc>
          <w:tcPr>
            <w:tcW w:w="90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w:t>
            </w:r>
            <w:r/>
          </w:p>
        </w:tc>
        <w:tc>
          <w:tcPr>
            <w:tcW w:w="911"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9500</w:t>
            </w:r>
            <w:r/>
          </w:p>
        </w:tc>
        <w:tc>
          <w:tcPr>
            <w:tcW w:w="976" w:type="pct"/>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591"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tcW w:w="16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标志标牌养护</w:t>
            </w:r>
            <w:r/>
          </w:p>
        </w:tc>
        <w:tc>
          <w:tcPr>
            <w:tcW w:w="90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块</w:t>
            </w:r>
            <w:r/>
          </w:p>
        </w:tc>
        <w:tc>
          <w:tcPr>
            <w:tcW w:w="911"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266</w:t>
            </w:r>
            <w:r/>
          </w:p>
        </w:tc>
        <w:tc>
          <w:tcPr>
            <w:tcW w:w="976" w:type="pct"/>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591"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8</w:t>
            </w:r>
            <w:r/>
          </w:p>
        </w:tc>
        <w:tc>
          <w:tcPr>
            <w:tcW w:w="16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界碑界牌里程桩养护</w:t>
            </w:r>
            <w:r/>
          </w:p>
        </w:tc>
        <w:tc>
          <w:tcPr>
            <w:tcW w:w="90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块</w:t>
            </w:r>
            <w:r/>
          </w:p>
        </w:tc>
        <w:tc>
          <w:tcPr>
            <w:tcW w:w="911"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480</w:t>
            </w:r>
            <w:r/>
          </w:p>
        </w:tc>
        <w:tc>
          <w:tcPr>
            <w:tcW w:w="976" w:type="pct"/>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591"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w:t>
            </w:r>
            <w:r/>
          </w:p>
        </w:tc>
        <w:tc>
          <w:tcPr>
            <w:tcW w:w="16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限高杆、限宽墩、限行标志养护</w:t>
            </w:r>
            <w:r/>
          </w:p>
        </w:tc>
        <w:tc>
          <w:tcPr>
            <w:tcW w:w="90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个</w:t>
            </w:r>
            <w:r/>
          </w:p>
        </w:tc>
        <w:tc>
          <w:tcPr>
            <w:tcW w:w="911" w:type="pct"/>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5</w:t>
            </w:r>
            <w:r/>
          </w:p>
        </w:tc>
        <w:tc>
          <w:tcPr>
            <w:tcW w:w="976" w:type="pct"/>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591"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p>
        </w:tc>
        <w:tc>
          <w:tcPr>
            <w:tcW w:w="16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升降桩</w:t>
            </w:r>
            <w:r/>
          </w:p>
        </w:tc>
        <w:tc>
          <w:tcPr>
            <w:tcW w:w="90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处</w:t>
            </w:r>
            <w:r/>
          </w:p>
        </w:tc>
        <w:tc>
          <w:tcPr>
            <w:tcW w:w="911"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p>
        </w:tc>
        <w:tc>
          <w:tcPr>
            <w:tcW w:w="976" w:type="pct"/>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591"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11</w:t>
            </w:r>
            <w:r/>
          </w:p>
        </w:tc>
        <w:tc>
          <w:tcPr>
            <w:tcW w:w="16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汛后亲水平台淤泥清理</w:t>
            </w:r>
            <w:r/>
          </w:p>
        </w:tc>
        <w:tc>
          <w:tcPr>
            <w:tcW w:w="90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m2</w:t>
            </w:r>
            <w:r/>
          </w:p>
        </w:tc>
        <w:tc>
          <w:tcPr>
            <w:tcW w:w="911"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12000</w:t>
            </w:r>
            <w:r/>
          </w:p>
        </w:tc>
        <w:tc>
          <w:tcPr>
            <w:tcW w:w="976" w:type="pct"/>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591"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12</w:t>
            </w:r>
            <w:r/>
          </w:p>
        </w:tc>
        <w:tc>
          <w:tcPr>
            <w:tcW w:w="16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亲水平台步行道芦苇荡清理</w:t>
            </w:r>
            <w:r/>
          </w:p>
        </w:tc>
        <w:tc>
          <w:tcPr>
            <w:tcW w:w="90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m2</w:t>
            </w:r>
            <w:r/>
          </w:p>
        </w:tc>
        <w:tc>
          <w:tcPr>
            <w:tcW w:w="911"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2200</w:t>
            </w:r>
            <w:r/>
          </w:p>
        </w:tc>
        <w:tc>
          <w:tcPr>
            <w:tcW w:w="976" w:type="pct"/>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bl>
    <w:p>
      <w:pPr>
        <w:jc w:val="left"/>
        <w:spacing w:line="360" w:lineRule="exact"/>
        <w:rPr>
          <w:rFonts w:ascii="宋体" w:hAnsi="宋体"/>
          <w:b/>
          <w:color w:val="auto"/>
          <w:szCs w:val="21"/>
          <w:highlight w:val="none"/>
        </w:rPr>
      </w:pPr>
      <w:r>
        <w:rPr>
          <w:rFonts w:hint="eastAsia" w:ascii="宋体" w:hAnsi="宋体"/>
          <w:b/>
          <w:color w:val="auto"/>
          <w:szCs w:val="21"/>
          <w:highlight w:val="none"/>
        </w:rPr>
        <w:t xml:space="preserve">表四：铁投段苗木精细化养护及堤顶道路实施清单</w:t>
      </w:r>
      <w:r/>
    </w:p>
    <w:tbl>
      <w:tblPr>
        <w:tblStyle w:val="885"/>
        <w:tblW w:w="51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15"/>
        <w:gridCol w:w="4337"/>
        <w:gridCol w:w="3071"/>
      </w:tblGrid>
      <w:tr>
        <w:trPr>
          <w:jc w:val="center"/>
          <w:trHeight w:val="436" w:hRule="exact"/>
        </w:trPr>
        <w:tc>
          <w:tcPr>
            <w:tcW w:w="1341"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序号</w:t>
            </w:r>
            <w:r/>
          </w:p>
        </w:tc>
        <w:tc>
          <w:tcPr>
            <w:tcW w:w="2142"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名 称</w:t>
            </w:r>
            <w:r/>
          </w:p>
        </w:tc>
        <w:tc>
          <w:tcPr>
            <w:tcW w:w="1517" w:type="pct"/>
            <w:vAlign w:val="center"/>
            <w:textDirection w:val="lrTb"/>
            <w:noWrap w:val="false"/>
          </w:tcPr>
          <w:p>
            <w:pPr>
              <w:jc w:val="center"/>
              <w:rPr>
                <w:rFonts w:ascii="宋体" w:hAnsi="宋体"/>
                <w:b/>
                <w:color w:val="auto"/>
                <w:szCs w:val="21"/>
                <w:highlight w:val="none"/>
              </w:rPr>
            </w:pPr>
            <w:r>
              <w:rPr>
                <w:rFonts w:ascii="宋体" w:hAnsi="宋体"/>
                <w:b/>
                <w:color w:val="auto"/>
                <w:szCs w:val="21"/>
                <w:highlight w:val="none"/>
              </w:rPr>
              <w:t xml:space="preserve">养护标准</w:t>
            </w:r>
            <w:r/>
          </w:p>
        </w:tc>
      </w:tr>
      <w:tr>
        <w:trPr>
          <w:jc w:val="center"/>
          <w:trHeight w:val="4068"/>
        </w:trPr>
        <w:tc>
          <w:tcPr>
            <w:tcW w:w="1341"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2142" w:type="pct"/>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火焰南天竹：39.6平方</w:t>
            </w:r>
            <w:r/>
          </w:p>
          <w:p>
            <w:pPr>
              <w:jc w:val="left"/>
              <w:rPr>
                <w:rFonts w:ascii="宋体" w:hAnsi="宋体"/>
                <w:color w:val="auto"/>
                <w:szCs w:val="21"/>
                <w:highlight w:val="none"/>
              </w:rPr>
            </w:pPr>
            <w:r>
              <w:rPr>
                <w:rFonts w:hint="eastAsia" w:ascii="宋体" w:hAnsi="宋体"/>
                <w:color w:val="auto"/>
                <w:szCs w:val="21"/>
                <w:highlight w:val="none"/>
              </w:rPr>
              <w:t xml:space="preserve">大吴风草：130.8平方</w:t>
            </w:r>
            <w:r/>
          </w:p>
          <w:p>
            <w:pPr>
              <w:jc w:val="left"/>
              <w:rPr>
                <w:rFonts w:ascii="宋体" w:hAnsi="宋体"/>
                <w:color w:val="auto"/>
                <w:szCs w:val="21"/>
                <w:highlight w:val="none"/>
              </w:rPr>
            </w:pPr>
            <w:r>
              <w:rPr>
                <w:rFonts w:hint="eastAsia" w:ascii="宋体" w:hAnsi="宋体"/>
                <w:color w:val="auto"/>
                <w:szCs w:val="21"/>
                <w:highlight w:val="none"/>
              </w:rPr>
              <w:t xml:space="preserve">花叶络石：116.8平方</w:t>
            </w:r>
            <w:r/>
          </w:p>
          <w:p>
            <w:pPr>
              <w:jc w:val="left"/>
              <w:rPr>
                <w:rFonts w:ascii="宋体" w:hAnsi="宋体"/>
                <w:color w:val="auto"/>
                <w:szCs w:val="21"/>
                <w:highlight w:val="none"/>
              </w:rPr>
            </w:pPr>
            <w:r>
              <w:rPr>
                <w:rFonts w:hint="eastAsia" w:ascii="宋体" w:hAnsi="宋体"/>
                <w:color w:val="auto"/>
                <w:szCs w:val="21"/>
                <w:highlight w:val="none"/>
              </w:rPr>
              <w:t xml:space="preserve">二月兰+细叶麦冬：1269.6平方</w:t>
            </w:r>
            <w:r/>
          </w:p>
          <w:p>
            <w:pPr>
              <w:jc w:val="left"/>
              <w:rPr>
                <w:rFonts w:ascii="宋体" w:hAnsi="宋体"/>
                <w:color w:val="auto"/>
                <w:szCs w:val="21"/>
                <w:highlight w:val="none"/>
              </w:rPr>
            </w:pPr>
            <w:r>
              <w:rPr>
                <w:rFonts w:hint="eastAsia" w:ascii="宋体" w:hAnsi="宋体"/>
                <w:color w:val="auto"/>
                <w:szCs w:val="21"/>
                <w:highlight w:val="none"/>
              </w:rPr>
              <w:t xml:space="preserve">蔓长春：390平方</w:t>
            </w:r>
            <w:r/>
          </w:p>
          <w:p>
            <w:pPr>
              <w:jc w:val="left"/>
              <w:rPr>
                <w:rFonts w:ascii="宋体" w:hAnsi="宋体"/>
                <w:color w:val="auto"/>
                <w:szCs w:val="21"/>
                <w:highlight w:val="none"/>
              </w:rPr>
            </w:pPr>
            <w:r>
              <w:rPr>
                <w:rFonts w:hint="eastAsia" w:ascii="宋体" w:hAnsi="宋体"/>
                <w:color w:val="auto"/>
                <w:szCs w:val="21"/>
                <w:highlight w:val="none"/>
              </w:rPr>
              <w:t xml:space="preserve">金丝苔草：99.6平方</w:t>
            </w:r>
            <w:r/>
          </w:p>
          <w:p>
            <w:pPr>
              <w:jc w:val="left"/>
              <w:rPr>
                <w:rFonts w:ascii="宋体" w:hAnsi="宋体"/>
                <w:color w:val="auto"/>
                <w:szCs w:val="21"/>
                <w:highlight w:val="none"/>
              </w:rPr>
            </w:pPr>
            <w:r>
              <w:rPr>
                <w:rFonts w:hint="eastAsia" w:ascii="宋体" w:hAnsi="宋体"/>
                <w:color w:val="auto"/>
                <w:szCs w:val="21"/>
                <w:highlight w:val="none"/>
              </w:rPr>
              <w:t xml:space="preserve">草坪：1297.66平方</w:t>
            </w:r>
            <w:r/>
          </w:p>
          <w:p>
            <w:pPr>
              <w:jc w:val="left"/>
              <w:rPr>
                <w:rFonts w:ascii="宋体" w:hAnsi="宋体"/>
                <w:color w:val="auto"/>
                <w:szCs w:val="21"/>
                <w:highlight w:val="none"/>
              </w:rPr>
            </w:pPr>
            <w:r>
              <w:rPr>
                <w:rFonts w:hint="eastAsia" w:ascii="宋体" w:hAnsi="宋体"/>
                <w:color w:val="auto"/>
                <w:szCs w:val="21"/>
                <w:highlight w:val="none"/>
              </w:rPr>
              <w:t xml:space="preserve">堤顶路面积：3300平方</w:t>
            </w:r>
            <w:r/>
          </w:p>
        </w:tc>
        <w:tc>
          <w:tcPr>
            <w:tcW w:w="1517" w:type="pct"/>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p>
            <w:pPr>
              <w:jc w:val="left"/>
              <w:widowControl/>
              <w:rPr>
                <w:rFonts w:ascii="宋体" w:hAnsi="宋体"/>
                <w:color w:val="auto"/>
                <w:szCs w:val="21"/>
                <w:highlight w:val="none"/>
              </w:rPr>
            </w:pPr>
            <w:r>
              <w:rPr>
                <w:rFonts w:hint="eastAsia" w:ascii="宋体" w:hAnsi="宋体"/>
                <w:color w:val="auto"/>
                <w:szCs w:val="21"/>
                <w:highlight w:val="none"/>
              </w:rPr>
              <w:t xml:space="preserve">1、乔灌木存活率不得低于95%。</w:t>
            </w:r>
            <w:r/>
          </w:p>
          <w:p>
            <w:pPr>
              <w:jc w:val="left"/>
              <w:widowControl/>
              <w:rPr>
                <w:rFonts w:ascii="宋体" w:hAnsi="宋体"/>
                <w:color w:val="auto"/>
                <w:szCs w:val="21"/>
                <w:highlight w:val="none"/>
              </w:rPr>
            </w:pPr>
            <w:r>
              <w:rPr>
                <w:rFonts w:hint="eastAsia" w:ascii="宋体" w:hAnsi="宋体"/>
                <w:color w:val="auto"/>
                <w:szCs w:val="21"/>
                <w:highlight w:val="none"/>
              </w:rPr>
              <w:t xml:space="preserve">2、植株生长旺盛，枝叶强健,散布平均，造型雅观。</w:t>
            </w:r>
            <w:r/>
          </w:p>
          <w:p>
            <w:pPr>
              <w:jc w:val="left"/>
              <w:widowControl/>
              <w:rPr>
                <w:rFonts w:ascii="宋体" w:hAnsi="宋体"/>
                <w:color w:val="auto"/>
                <w:szCs w:val="21"/>
                <w:highlight w:val="none"/>
              </w:rPr>
            </w:pPr>
            <w:r>
              <w:rPr>
                <w:rFonts w:hint="eastAsia" w:ascii="宋体" w:hAnsi="宋体"/>
                <w:color w:val="auto"/>
                <w:szCs w:val="21"/>
                <w:highlight w:val="none"/>
              </w:rPr>
              <w:t xml:space="preserve">3．无枯枝残叶，树枝散布平均，疏密度合宜，整形与环境要求统一协调。</w:t>
            </w:r>
            <w:r/>
          </w:p>
          <w:p>
            <w:pPr>
              <w:jc w:val="left"/>
              <w:widowControl/>
              <w:rPr>
                <w:rFonts w:ascii="宋体" w:hAnsi="宋体"/>
                <w:color w:val="auto"/>
                <w:szCs w:val="21"/>
                <w:highlight w:val="none"/>
              </w:rPr>
            </w:pPr>
            <w:r>
              <w:rPr>
                <w:rFonts w:hint="eastAsia" w:ascii="宋体" w:hAnsi="宋体"/>
                <w:color w:val="auto"/>
                <w:szCs w:val="21"/>
                <w:highlight w:val="none"/>
              </w:rPr>
              <w:t xml:space="preserve">4.无显然病虫危害迹象。</w:t>
            </w:r>
            <w:r/>
          </w:p>
          <w:p>
            <w:pPr>
              <w:jc w:val="left"/>
              <w:widowControl/>
              <w:rPr>
                <w:rFonts w:ascii="宋体" w:hAnsi="宋体"/>
                <w:color w:val="auto"/>
                <w:szCs w:val="21"/>
                <w:highlight w:val="none"/>
              </w:rPr>
            </w:pPr>
            <w:r>
              <w:rPr>
                <w:rFonts w:hint="eastAsia" w:ascii="宋体" w:hAnsi="宋体"/>
                <w:color w:val="auto"/>
                <w:szCs w:val="21"/>
                <w:highlight w:val="none"/>
              </w:rPr>
              <w:t xml:space="preserve">5.植株下无杂草、杂物。</w:t>
            </w:r>
            <w:r/>
          </w:p>
          <w:p>
            <w:pPr>
              <w:jc w:val="left"/>
              <w:widowControl/>
              <w:rPr>
                <w:rFonts w:ascii="宋体" w:hAnsi="宋体"/>
                <w:color w:val="auto"/>
                <w:szCs w:val="21"/>
                <w:highlight w:val="none"/>
              </w:rPr>
            </w:pPr>
            <w:r>
              <w:rPr>
                <w:rFonts w:hint="eastAsia" w:ascii="宋体" w:hAnsi="宋体"/>
                <w:color w:val="auto"/>
                <w:szCs w:val="21"/>
                <w:highlight w:val="none"/>
              </w:rPr>
              <w:t xml:space="preserve">6.堤顶道路零星维修及保洁。</w:t>
            </w:r>
            <w:r/>
          </w:p>
          <w:p>
            <w:pPr>
              <w:jc w:val="left"/>
              <w:widowControl/>
              <w:rPr>
                <w:rFonts w:ascii="宋体" w:hAnsi="宋体"/>
                <w:color w:val="auto"/>
                <w:szCs w:val="21"/>
                <w:highlight w:val="none"/>
              </w:rPr>
            </w:pPr>
            <w:r>
              <w:rPr>
                <w:rFonts w:ascii="宋体" w:hAnsi="宋体"/>
                <w:color w:val="auto"/>
                <w:szCs w:val="21"/>
                <w:highlight w:val="none"/>
              </w:rPr>
            </w:r>
            <w:r/>
          </w:p>
          <w:p>
            <w:pPr>
              <w:jc w:val="left"/>
              <w:widowControl/>
              <w:rPr>
                <w:rFonts w:ascii="宋体" w:hAnsi="宋体"/>
                <w:color w:val="auto"/>
                <w:szCs w:val="21"/>
                <w:highlight w:val="none"/>
              </w:rPr>
            </w:pPr>
            <w:r>
              <w:rPr>
                <w:rFonts w:ascii="宋体" w:hAnsi="宋体"/>
                <w:color w:val="auto"/>
                <w:szCs w:val="21"/>
                <w:highlight w:val="none"/>
              </w:rPr>
            </w:r>
            <w:r/>
          </w:p>
          <w:p>
            <w:pPr>
              <w:jc w:val="left"/>
              <w:widowControl/>
              <w:rPr>
                <w:rFonts w:ascii="宋体" w:hAnsi="宋体"/>
                <w:color w:val="auto"/>
                <w:szCs w:val="21"/>
                <w:highlight w:val="none"/>
              </w:rPr>
            </w:pPr>
            <w:r>
              <w:rPr>
                <w:rFonts w:ascii="宋体" w:hAnsi="宋体"/>
                <w:color w:val="auto"/>
                <w:szCs w:val="21"/>
                <w:highlight w:val="none"/>
              </w:rPr>
            </w:r>
            <w:r/>
          </w:p>
          <w:p>
            <w:pPr>
              <w:jc w:val="left"/>
              <w:widowControl/>
              <w:rPr>
                <w:rFonts w:ascii="宋体" w:hAnsi="宋体"/>
                <w:color w:val="auto"/>
                <w:szCs w:val="21"/>
                <w:highlight w:val="none"/>
              </w:rPr>
            </w:pPr>
            <w:r>
              <w:rPr>
                <w:rFonts w:ascii="宋体" w:hAnsi="宋体"/>
                <w:color w:val="auto"/>
                <w:szCs w:val="21"/>
                <w:highlight w:val="none"/>
              </w:rPr>
            </w:r>
            <w:r/>
          </w:p>
          <w:p>
            <w:pPr>
              <w:jc w:val="left"/>
              <w:widowControl/>
              <w:rPr>
                <w:rFonts w:ascii="宋体" w:hAnsi="宋体"/>
                <w:color w:val="auto"/>
                <w:szCs w:val="21"/>
                <w:highlight w:val="none"/>
              </w:rPr>
            </w:pPr>
            <w:r>
              <w:rPr>
                <w:rFonts w:ascii="宋体" w:hAnsi="宋体"/>
                <w:color w:val="auto"/>
                <w:szCs w:val="21"/>
                <w:highlight w:val="none"/>
              </w:rPr>
            </w:r>
            <w:r/>
          </w:p>
          <w:p>
            <w:pPr>
              <w:jc w:val="left"/>
              <w:widowControl/>
              <w:rPr>
                <w:rFonts w:ascii="宋体" w:hAnsi="宋体"/>
                <w:color w:val="auto"/>
                <w:szCs w:val="21"/>
                <w:highlight w:val="none"/>
              </w:rPr>
            </w:pPr>
            <w:r>
              <w:rPr>
                <w:rFonts w:ascii="宋体" w:hAnsi="宋体"/>
                <w:color w:val="auto"/>
                <w:szCs w:val="21"/>
                <w:highlight w:val="none"/>
              </w:rPr>
            </w:r>
            <w:r/>
          </w:p>
          <w:p>
            <w:pPr>
              <w:jc w:val="left"/>
              <w:rPr>
                <w:rFonts w:ascii="宋体" w:hAnsi="宋体"/>
                <w:color w:val="auto"/>
                <w:szCs w:val="21"/>
                <w:highlight w:val="none"/>
              </w:rPr>
            </w:pPr>
            <w:r>
              <w:rPr>
                <w:rFonts w:ascii="宋体" w:hAnsi="宋体"/>
                <w:color w:val="auto"/>
                <w:szCs w:val="21"/>
                <w:highlight w:val="none"/>
              </w:rPr>
            </w:r>
            <w:r/>
          </w:p>
        </w:tc>
      </w:tr>
    </w:tbl>
    <w:p>
      <w:pPr>
        <w:jc w:val="left"/>
        <w:spacing w:line="360" w:lineRule="exact"/>
        <w:rPr>
          <w:rFonts w:ascii="宋体" w:hAnsi="宋体"/>
          <w:b/>
          <w:color w:val="auto"/>
          <w:szCs w:val="21"/>
          <w:highlight w:val="none"/>
        </w:rPr>
      </w:pPr>
      <w:r>
        <w:rPr>
          <w:rFonts w:ascii="宋体" w:hAnsi="宋体"/>
          <w:b/>
          <w:color w:val="auto"/>
          <w:szCs w:val="21"/>
          <w:highlight w:val="none"/>
        </w:rPr>
      </w:r>
      <w:r/>
    </w:p>
    <w:p>
      <w:pPr>
        <w:jc w:val="left"/>
        <w:spacing w:line="360" w:lineRule="exact"/>
        <w:rPr>
          <w:rFonts w:ascii="宋体" w:hAnsi="宋体"/>
          <w:b/>
          <w:color w:val="auto"/>
          <w:szCs w:val="21"/>
          <w:highlight w:val="none"/>
        </w:rPr>
      </w:pPr>
      <w:r>
        <w:rPr>
          <w:rFonts w:hint="eastAsia" w:ascii="宋体" w:hAnsi="宋体"/>
          <w:b/>
          <w:color w:val="auto"/>
          <w:szCs w:val="21"/>
          <w:highlight w:val="none"/>
        </w:rPr>
        <w:t xml:space="preserve">注：1、以上工程量均为估算工程量，供供应商参考，具体实际养护工程量以实际踏勘为准。</w:t>
      </w:r>
      <w:r/>
    </w:p>
    <w:p>
      <w:pPr>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分包三：</w:t>
      </w:r>
      <w:r/>
    </w:p>
    <w:p>
      <w:pPr>
        <w:spacing w:line="360" w:lineRule="auto"/>
        <w:rPr>
          <w:rFonts w:ascii="宋体" w:hAnsi="宋体"/>
          <w:bCs/>
          <w:color w:val="auto"/>
          <w:szCs w:val="21"/>
          <w:highlight w:val="none"/>
        </w:rPr>
      </w:pPr>
      <w:r>
        <w:rPr>
          <w:rFonts w:hint="eastAsia" w:ascii="宋体" w:hAnsi="宋体"/>
          <w:b/>
          <w:color w:val="auto"/>
          <w:szCs w:val="21"/>
          <w:highlight w:val="none"/>
        </w:rPr>
        <w:t xml:space="preserve">1、养护起讫点：</w:t>
      </w:r>
      <w:r>
        <w:rPr>
          <w:rFonts w:hint="eastAsia" w:ascii="宋体" w:hAnsi="宋体"/>
          <w:bCs/>
          <w:color w:val="auto"/>
          <w:szCs w:val="21"/>
          <w:highlight w:val="none"/>
        </w:rPr>
        <w:t xml:space="preserve">秦淮新河红庙桥（8+850）至秦淮新河节制闸（15+130），总计12.56公里（含梅山段）堤防巡查、养护等。</w:t>
      </w:r>
      <w:r/>
    </w:p>
    <w:p>
      <w:pPr>
        <w:spacing w:line="360" w:lineRule="auto"/>
        <w:rPr>
          <w:rFonts w:ascii="宋体" w:hAnsi="宋体"/>
          <w:bCs/>
          <w:color w:val="auto"/>
          <w:szCs w:val="21"/>
          <w:highlight w:val="none"/>
        </w:rPr>
      </w:pPr>
      <w:r>
        <w:rPr>
          <w:rFonts w:hint="eastAsia" w:ascii="宋体" w:hAnsi="宋体"/>
          <w:b/>
          <w:color w:val="auto"/>
          <w:szCs w:val="21"/>
          <w:highlight w:val="none"/>
        </w:rPr>
        <w:t xml:space="preserve">2.河道堤防养护范围</w:t>
      </w:r>
      <w:r>
        <w:rPr>
          <w:rFonts w:hint="eastAsia" w:ascii="宋体" w:hAnsi="宋体"/>
          <w:color w:val="auto"/>
          <w:szCs w:val="21"/>
          <w:highlight w:val="none"/>
        </w:rPr>
        <w:t xml:space="preserve">：</w:t>
      </w:r>
      <w:r>
        <w:rPr>
          <w:rFonts w:hint="eastAsia" w:ascii="宋体" w:hAnsi="宋体"/>
          <w:bCs/>
          <w:color w:val="auto"/>
          <w:szCs w:val="21"/>
          <w:highlight w:val="none"/>
        </w:rPr>
        <w:t xml:space="preserve">河道的管理范围为河道堤防养护范围（含临水岸水位变幅区），巡查含河道保护范围内巡查。</w:t>
      </w:r>
      <w:r>
        <w:rPr>
          <w:rFonts w:hint="eastAsia" w:ascii="宋体" w:hAnsi="宋体"/>
          <w:color w:val="auto"/>
          <w:szCs w:val="21"/>
          <w:highlight w:val="none"/>
        </w:rPr>
        <w:t xml:space="preserve">秦淮河、秦淮新河管理范围：执行宁水办运管【2019】206号文中规定的范围</w:t>
      </w:r>
      <w:r>
        <w:rPr>
          <w:rFonts w:hint="eastAsia" w:ascii="宋体" w:hAnsi="宋体"/>
          <w:bCs/>
          <w:color w:val="auto"/>
          <w:szCs w:val="21"/>
          <w:highlight w:val="none"/>
        </w:rPr>
        <w:t xml:space="preserve">；</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保护范围为管理范围外40米。</w:t>
      </w:r>
      <w:r/>
    </w:p>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表一：人员要求表</w:t>
      </w:r>
      <w:r/>
    </w:p>
    <w:p>
      <w:pPr>
        <w:jc w:val="center"/>
        <w:rPr>
          <w:rFonts w:ascii="宋体" w:hAnsi="宋体"/>
          <w:color w:val="auto"/>
          <w:szCs w:val="21"/>
          <w:highlight w:val="none"/>
        </w:rPr>
      </w:pPr>
      <w:r>
        <w:rPr>
          <w:rFonts w:hint="eastAsia" w:ascii="宋体" w:hAnsi="宋体"/>
          <w:color w:val="auto"/>
          <w:szCs w:val="21"/>
          <w:highlight w:val="none"/>
        </w:rPr>
        <w:t xml:space="preserve">（要求供应商投入人员不低于下表要求）</w:t>
      </w:r>
      <w:r/>
    </w:p>
    <w:tbl>
      <w:tblPr>
        <w:tblStyle w:val="88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3381"/>
        <w:gridCol w:w="1840"/>
        <w:gridCol w:w="1850"/>
        <w:gridCol w:w="1848"/>
      </w:tblGrid>
      <w:tr>
        <w:trPr>
          <w:jc w:val="center"/>
          <w:trHeight w:val="436" w:hRule="exact"/>
        </w:trPr>
        <w:tc>
          <w:tcPr>
            <w:tcW w:w="482"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序号</w:t>
            </w:r>
            <w:r/>
          </w:p>
        </w:tc>
        <w:tc>
          <w:tcPr>
            <w:tcW w:w="1713"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名 称</w:t>
            </w:r>
            <w:r/>
          </w:p>
        </w:tc>
        <w:tc>
          <w:tcPr>
            <w:tcW w:w="932"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单位</w:t>
            </w:r>
            <w:r/>
          </w:p>
        </w:tc>
        <w:tc>
          <w:tcPr>
            <w:tcW w:w="937"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数量</w:t>
            </w:r>
            <w:r/>
          </w:p>
        </w:tc>
        <w:tc>
          <w:tcPr>
            <w:tcW w:w="936"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备注</w:t>
            </w:r>
            <w:r/>
          </w:p>
        </w:tc>
      </w:tr>
      <w:tr>
        <w:trPr>
          <w:jc w:val="center"/>
          <w:trHeight w:val="312"/>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管理人员（含项目负责人）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人</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936" w:type="pct"/>
            <w:vAlign w:val="center"/>
            <w:vMerge w:val="restart"/>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养护人员</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人</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17</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绿化工</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人</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安全员</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人</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bl>
    <w:p>
      <w:pPr>
        <w:jc w:val="center"/>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表二：设备要求表</w:t>
      </w:r>
      <w:r/>
    </w:p>
    <w:p>
      <w:pPr>
        <w:jc w:val="center"/>
        <w:rPr>
          <w:rFonts w:ascii="宋体" w:hAnsi="宋体"/>
          <w:color w:val="auto"/>
          <w:szCs w:val="21"/>
          <w:highlight w:val="none"/>
        </w:rPr>
      </w:pPr>
      <w:r>
        <w:rPr>
          <w:rFonts w:hint="eastAsia" w:ascii="宋体" w:hAnsi="宋体"/>
          <w:color w:val="auto"/>
          <w:szCs w:val="21"/>
          <w:highlight w:val="none"/>
        </w:rPr>
        <w:t xml:space="preserve">（要求供应商投入设备不低于下表要求）</w:t>
      </w:r>
      <w:r/>
    </w:p>
    <w:tbl>
      <w:tblPr>
        <w:tblStyle w:val="88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3381"/>
        <w:gridCol w:w="1840"/>
        <w:gridCol w:w="1850"/>
        <w:gridCol w:w="1848"/>
      </w:tblGrid>
      <w:tr>
        <w:trPr>
          <w:jc w:val="center"/>
          <w:trHeight w:val="436" w:hRule="exact"/>
        </w:trPr>
        <w:tc>
          <w:tcPr>
            <w:tcW w:w="482"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序号</w:t>
            </w:r>
            <w:r/>
          </w:p>
        </w:tc>
        <w:tc>
          <w:tcPr>
            <w:tcW w:w="1713"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名 称</w:t>
            </w:r>
            <w:r/>
          </w:p>
        </w:tc>
        <w:tc>
          <w:tcPr>
            <w:tcW w:w="932"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单位</w:t>
            </w:r>
            <w:r/>
          </w:p>
        </w:tc>
        <w:tc>
          <w:tcPr>
            <w:tcW w:w="937"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数量</w:t>
            </w:r>
            <w:r/>
          </w:p>
        </w:tc>
        <w:tc>
          <w:tcPr>
            <w:tcW w:w="936"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备注</w:t>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巡查车辆</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辆</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0" w:type="auto"/>
            <w:vAlign w:val="center"/>
            <w:vMerge w:val="restart"/>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运输车辆</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辆</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洒水车</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辆</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电动保洁三轮车</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辆</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摄像器材（含手机）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套</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割灌机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台</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8</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吹风机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台</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8</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绿篱机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台</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打药机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台</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油锯</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套</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bl>
    <w:p>
      <w:pPr>
        <w:ind w:firstLine="420"/>
        <w:jc w:val="center"/>
        <w:spacing w:line="360" w:lineRule="auto"/>
        <w:rPr>
          <w:rFonts w:ascii="宋体" w:hAnsi="宋体"/>
          <w:bCs/>
          <w:color w:val="auto"/>
          <w:szCs w:val="21"/>
          <w:highlight w:val="none"/>
        </w:rPr>
      </w:pPr>
      <w:r>
        <w:rPr>
          <w:rFonts w:ascii="宋体" w:hAnsi="宋体"/>
          <w:bCs/>
          <w:color w:val="auto"/>
          <w:szCs w:val="21"/>
          <w:highlight w:val="none"/>
        </w:rPr>
      </w:r>
      <w:r/>
    </w:p>
    <w:p>
      <w:pPr>
        <w:ind w:firstLine="422"/>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表三：工程量清单</w:t>
      </w:r>
      <w:r/>
    </w:p>
    <w:tbl>
      <w:tblPr>
        <w:tblStyle w:val="88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3683"/>
        <w:gridCol w:w="1538"/>
        <w:gridCol w:w="1850"/>
        <w:gridCol w:w="1848"/>
      </w:tblGrid>
      <w:tr>
        <w:trPr>
          <w:jc w:val="center"/>
          <w:trHeight w:val="436" w:hRule="exact"/>
        </w:trPr>
        <w:tc>
          <w:tcPr>
            <w:tcW w:w="482"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序号</w:t>
            </w:r>
            <w:r/>
          </w:p>
        </w:tc>
        <w:tc>
          <w:tcPr>
            <w:tcW w:w="1866"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名 称</w:t>
            </w:r>
            <w:r/>
          </w:p>
        </w:tc>
        <w:tc>
          <w:tcPr>
            <w:tcW w:w="779"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单位</w:t>
            </w:r>
            <w:r/>
          </w:p>
        </w:tc>
        <w:tc>
          <w:tcPr>
            <w:tcW w:w="937"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工程量</w:t>
            </w:r>
            <w:r/>
          </w:p>
        </w:tc>
        <w:tc>
          <w:tcPr>
            <w:tcW w:w="936"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备注</w:t>
            </w:r>
            <w:r/>
          </w:p>
        </w:tc>
      </w:tr>
      <w:tr>
        <w:trPr>
          <w:jc w:val="center"/>
          <w:trHeight w:val="312"/>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866"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生物防护草皮养护</w:t>
            </w:r>
            <w:r/>
          </w:p>
        </w:tc>
        <w:tc>
          <w:tcPr>
            <w:tcW w:w="77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m2</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394500</w:t>
            </w:r>
            <w:r/>
          </w:p>
        </w:tc>
        <w:tc>
          <w:tcPr>
            <w:tcW w:w="936" w:type="pct"/>
            <w:vAlign w:val="center"/>
            <w:vMerge w:val="restart"/>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1、秦淮河水法治文化广场养护维护工作内容及要求详见表四；</w:t>
            </w:r>
            <w:r/>
          </w:p>
          <w:p>
            <w:pPr>
              <w:jc w:val="left"/>
              <w:rPr>
                <w:rFonts w:ascii="宋体" w:hAnsi="宋体"/>
                <w:color w:val="auto"/>
                <w:szCs w:val="21"/>
                <w:highlight w:val="none"/>
              </w:rPr>
            </w:pPr>
            <w:r>
              <w:rPr>
                <w:rFonts w:hint="eastAsia" w:ascii="宋体" w:hAnsi="宋体"/>
                <w:color w:val="auto"/>
                <w:szCs w:val="21"/>
                <w:highlight w:val="none"/>
              </w:rPr>
              <w:t xml:space="preserve">2、其余未尽内容及要求详见见“四、养护工作要求”。</w:t>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1866"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杂树灌木修整</w:t>
            </w:r>
            <w:r/>
          </w:p>
        </w:tc>
        <w:tc>
          <w:tcPr>
            <w:tcW w:w="77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m2</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12150</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866"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环境保洁</w:t>
            </w:r>
            <w:r/>
          </w:p>
        </w:tc>
        <w:tc>
          <w:tcPr>
            <w:tcW w:w="77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m2</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546750</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1866"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砼护坡坡面养护</w:t>
            </w:r>
            <w:r/>
          </w:p>
        </w:tc>
        <w:tc>
          <w:tcPr>
            <w:tcW w:w="77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m2</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98400</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1866"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排水沟养护</w:t>
            </w:r>
            <w:r/>
          </w:p>
        </w:tc>
        <w:tc>
          <w:tcPr>
            <w:tcW w:w="77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1700</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1866"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巡查便道养护</w:t>
            </w:r>
            <w:r/>
          </w:p>
        </w:tc>
        <w:tc>
          <w:tcPr>
            <w:tcW w:w="77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12150</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tcW w:w="1866"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标志标牌养护</w:t>
            </w:r>
            <w:r/>
          </w:p>
        </w:tc>
        <w:tc>
          <w:tcPr>
            <w:tcW w:w="77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块</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226</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8</w:t>
            </w:r>
            <w:r/>
          </w:p>
        </w:tc>
        <w:tc>
          <w:tcPr>
            <w:tcW w:w="1866"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界碑界牌里程桩养护</w:t>
            </w:r>
            <w:r/>
          </w:p>
        </w:tc>
        <w:tc>
          <w:tcPr>
            <w:tcW w:w="77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块</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265</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w:t>
            </w:r>
            <w:r/>
          </w:p>
        </w:tc>
        <w:tc>
          <w:tcPr>
            <w:tcW w:w="1866"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限高杆、限宽墩、限行标志养护</w:t>
            </w:r>
            <w:r/>
          </w:p>
        </w:tc>
        <w:tc>
          <w:tcPr>
            <w:tcW w:w="77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个</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20</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p>
        </w:tc>
        <w:tc>
          <w:tcPr>
            <w:tcW w:w="1866"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升降桩</w:t>
            </w:r>
            <w:r/>
          </w:p>
        </w:tc>
        <w:tc>
          <w:tcPr>
            <w:tcW w:w="77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处</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11</w:t>
            </w:r>
            <w:r/>
          </w:p>
        </w:tc>
        <w:tc>
          <w:tcPr>
            <w:tcW w:w="1866"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汛后亲水平台淤泥清理</w:t>
            </w:r>
            <w:r/>
          </w:p>
        </w:tc>
        <w:tc>
          <w:tcPr>
            <w:tcW w:w="77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m2</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3400</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12</w:t>
            </w:r>
            <w:r/>
          </w:p>
        </w:tc>
        <w:tc>
          <w:tcPr>
            <w:tcW w:w="1866"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亲水平台步行道芦苇荡清理</w:t>
            </w:r>
            <w:r/>
          </w:p>
        </w:tc>
        <w:tc>
          <w:tcPr>
            <w:tcW w:w="77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m2</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12000</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13</w:t>
            </w:r>
            <w:r/>
          </w:p>
        </w:tc>
        <w:tc>
          <w:tcPr>
            <w:tcW w:w="1866"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秦淮河水法治文化广场养护维护</w:t>
            </w:r>
            <w:r/>
          </w:p>
        </w:tc>
        <w:tc>
          <w:tcPr>
            <w:tcW w:w="77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项</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bl>
    <w:p>
      <w:pPr>
        <w:ind w:firstLine="422"/>
        <w:jc w:val="center"/>
        <w:spacing w:line="360" w:lineRule="auto"/>
        <w:rPr>
          <w:rFonts w:ascii="宋体" w:hAnsi="宋体"/>
          <w:b/>
          <w:color w:val="auto"/>
          <w:szCs w:val="21"/>
          <w:highlight w:val="none"/>
        </w:rPr>
      </w:pPr>
      <w:r>
        <w:rPr>
          <w:rFonts w:ascii="宋体" w:hAnsi="宋体"/>
          <w:b/>
          <w:color w:val="auto"/>
          <w:szCs w:val="21"/>
          <w:highlight w:val="none"/>
        </w:rPr>
      </w:r>
      <w:r/>
    </w:p>
    <w:p>
      <w:pPr>
        <w:ind w:firstLine="422"/>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表四：秦淮河水法治文化广场养护维护主要工作量表</w:t>
      </w:r>
      <w:r/>
    </w:p>
    <w:tbl>
      <w:tblPr>
        <w:tblStyle w:val="885"/>
        <w:tblW w:w="88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11"/>
        <w:gridCol w:w="1559"/>
        <w:gridCol w:w="3099"/>
        <w:gridCol w:w="1701"/>
        <w:gridCol w:w="1701"/>
      </w:tblGrid>
      <w:tr>
        <w:trPr>
          <w:jc w:val="center"/>
          <w:trHeight w:val="397"/>
        </w:trPr>
        <w:tc>
          <w:tcPr>
            <w:tcMar>
              <w:left w:w="15" w:type="dxa"/>
              <w:top w:w="15" w:type="dxa"/>
              <w:right w:w="15" w:type="dxa"/>
              <w:bottom w:w="0" w:type="dxa"/>
            </w:tcMar>
            <w:tcW w:w="811"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Mar>
              <w:left w:w="15" w:type="dxa"/>
              <w:top w:w="15" w:type="dxa"/>
              <w:right w:w="15" w:type="dxa"/>
              <w:bottom w:w="0" w:type="dxa"/>
            </w:tcMar>
            <w:tcW w:w="1559"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名称</w:t>
            </w:r>
            <w:r/>
          </w:p>
        </w:tc>
        <w:tc>
          <w:tcPr>
            <w:tcMar>
              <w:left w:w="15" w:type="dxa"/>
              <w:top w:w="15" w:type="dxa"/>
              <w:right w:w="15" w:type="dxa"/>
              <w:bottom w:w="0" w:type="dxa"/>
            </w:tcMar>
            <w:tcW w:w="3099"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主要内容</w:t>
            </w:r>
            <w:r/>
          </w:p>
        </w:tc>
        <w:tc>
          <w:tcPr>
            <w:tcW w:w="170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单位</w:t>
            </w:r>
            <w:r/>
          </w:p>
        </w:tc>
        <w:tc>
          <w:tcPr>
            <w:tcMar>
              <w:left w:w="15" w:type="dxa"/>
              <w:top w:w="15" w:type="dxa"/>
              <w:right w:w="15" w:type="dxa"/>
              <w:bottom w:w="0" w:type="dxa"/>
            </w:tcMar>
            <w:tcW w:w="1701"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数量</w:t>
            </w:r>
            <w:r/>
          </w:p>
        </w:tc>
      </w:tr>
      <w:tr>
        <w:trPr>
          <w:jc w:val="center"/>
          <w:trHeight w:val="397"/>
        </w:trPr>
        <w:tc>
          <w:tcPr>
            <w:tcMar>
              <w:left w:w="15" w:type="dxa"/>
              <w:top w:w="15" w:type="dxa"/>
              <w:right w:w="15" w:type="dxa"/>
              <w:bottom w:w="0" w:type="dxa"/>
            </w:tcMar>
            <w:tcW w:w="811"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一</w:t>
            </w:r>
            <w:r/>
          </w:p>
        </w:tc>
        <w:tc>
          <w:tcPr>
            <w:tcMar>
              <w:left w:w="15" w:type="dxa"/>
              <w:top w:w="15" w:type="dxa"/>
              <w:right w:w="15" w:type="dxa"/>
              <w:bottom w:w="0" w:type="dxa"/>
            </w:tcMar>
            <w:tcW w:w="1559"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保洁工作</w:t>
            </w:r>
            <w:r/>
          </w:p>
        </w:tc>
        <w:tc>
          <w:tcPr>
            <w:tcMar>
              <w:left w:w="15" w:type="dxa"/>
              <w:top w:w="15" w:type="dxa"/>
              <w:right w:w="15" w:type="dxa"/>
              <w:bottom w:w="0" w:type="dxa"/>
            </w:tcMar>
            <w:tcW w:w="3099"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170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701"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397"/>
        </w:trPr>
        <w:tc>
          <w:tcPr>
            <w:tcMar>
              <w:left w:w="15" w:type="dxa"/>
              <w:top w:w="15" w:type="dxa"/>
              <w:right w:w="15" w:type="dxa"/>
              <w:bottom w:w="0" w:type="dxa"/>
            </w:tcMar>
            <w:tcW w:w="811"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t xml:space="preserve">1</w:t>
            </w:r>
            <w:r/>
          </w:p>
        </w:tc>
        <w:tc>
          <w:tcPr>
            <w:tcMar>
              <w:left w:w="15" w:type="dxa"/>
              <w:top w:w="15" w:type="dxa"/>
              <w:right w:w="15" w:type="dxa"/>
              <w:bottom w:w="0" w:type="dxa"/>
            </w:tcMar>
            <w:tcW w:w="1559"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日常保洁</w:t>
            </w:r>
            <w:r/>
          </w:p>
        </w:tc>
        <w:tc>
          <w:tcPr>
            <w:tcMar>
              <w:left w:w="15" w:type="dxa"/>
              <w:top w:w="15" w:type="dxa"/>
              <w:right w:w="15" w:type="dxa"/>
              <w:bottom w:w="0" w:type="dxa"/>
            </w:tcMar>
            <w:tcW w:w="3099"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日常打扫广场及道路，做到基本无垃圾、无纸屑、无积水。</w:t>
            </w:r>
            <w:r/>
          </w:p>
        </w:tc>
        <w:tc>
          <w:tcPr>
            <w:tcW w:w="170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m2</w:t>
            </w:r>
            <w:r/>
          </w:p>
        </w:tc>
        <w:tc>
          <w:tcPr>
            <w:tcMar>
              <w:left w:w="15" w:type="dxa"/>
              <w:top w:w="15" w:type="dxa"/>
              <w:right w:w="15" w:type="dxa"/>
              <w:bottom w:w="0" w:type="dxa"/>
            </w:tcMar>
            <w:tcW w:w="1701"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t xml:space="preserve">5650</w:t>
            </w:r>
            <w:r/>
          </w:p>
        </w:tc>
      </w:tr>
      <w:tr>
        <w:trPr>
          <w:jc w:val="center"/>
          <w:trHeight w:val="397"/>
        </w:trPr>
        <w:tc>
          <w:tcPr>
            <w:tcMar>
              <w:left w:w="15" w:type="dxa"/>
              <w:top w:w="15" w:type="dxa"/>
              <w:right w:w="15" w:type="dxa"/>
              <w:bottom w:w="0" w:type="dxa"/>
            </w:tcMar>
            <w:tcW w:w="811"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t xml:space="preserve">2</w:t>
            </w:r>
            <w:r/>
          </w:p>
        </w:tc>
        <w:tc>
          <w:tcPr>
            <w:tcMar>
              <w:left w:w="15" w:type="dxa"/>
              <w:top w:w="15" w:type="dxa"/>
              <w:right w:w="15" w:type="dxa"/>
              <w:bottom w:w="0" w:type="dxa"/>
            </w:tcMar>
            <w:tcW w:w="1559"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标志标牌擦洗</w:t>
            </w:r>
            <w:r/>
          </w:p>
        </w:tc>
        <w:tc>
          <w:tcPr>
            <w:tcMar>
              <w:left w:w="15" w:type="dxa"/>
              <w:top w:w="15" w:type="dxa"/>
              <w:right w:w="15" w:type="dxa"/>
              <w:bottom w:w="0" w:type="dxa"/>
            </w:tcMar>
            <w:tcW w:w="3099"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每周至少全面擦洗</w:t>
            </w:r>
            <w:r>
              <w:rPr>
                <w:rFonts w:ascii="宋体" w:hAnsi="宋体"/>
                <w:color w:val="auto"/>
                <w:szCs w:val="21"/>
                <w:highlight w:val="none"/>
              </w:rPr>
              <w:t xml:space="preserve">1</w:t>
            </w:r>
            <w:r>
              <w:rPr>
                <w:rFonts w:hint="eastAsia" w:ascii="宋体" w:hAnsi="宋体"/>
                <w:color w:val="auto"/>
                <w:szCs w:val="21"/>
                <w:highlight w:val="none"/>
              </w:rPr>
              <w:t xml:space="preserve">次，做到牌面无污染，无泥渍。</w:t>
            </w:r>
            <w:r/>
          </w:p>
        </w:tc>
        <w:tc>
          <w:tcPr>
            <w:tcW w:w="170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块</w:t>
            </w:r>
            <w:r/>
          </w:p>
        </w:tc>
        <w:tc>
          <w:tcPr>
            <w:tcMar>
              <w:left w:w="15" w:type="dxa"/>
              <w:top w:w="15" w:type="dxa"/>
              <w:right w:w="15" w:type="dxa"/>
              <w:bottom w:w="0" w:type="dxa"/>
            </w:tcMar>
            <w:tcW w:w="1701"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t xml:space="preserve">18</w:t>
            </w:r>
            <w:r/>
          </w:p>
        </w:tc>
      </w:tr>
      <w:tr>
        <w:trPr>
          <w:jc w:val="center"/>
          <w:trHeight w:val="397"/>
        </w:trPr>
        <w:tc>
          <w:tcPr>
            <w:tcMar>
              <w:left w:w="15" w:type="dxa"/>
              <w:top w:w="15" w:type="dxa"/>
              <w:right w:w="15" w:type="dxa"/>
              <w:bottom w:w="0" w:type="dxa"/>
            </w:tcMar>
            <w:tcW w:w="811"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t xml:space="preserve">3</w:t>
            </w:r>
            <w:r/>
          </w:p>
        </w:tc>
        <w:tc>
          <w:tcPr>
            <w:tcMar>
              <w:left w:w="15" w:type="dxa"/>
              <w:top w:w="15" w:type="dxa"/>
              <w:right w:w="15" w:type="dxa"/>
              <w:bottom w:w="0" w:type="dxa"/>
            </w:tcMar>
            <w:tcW w:w="1559"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宣传牌擦洗</w:t>
            </w:r>
            <w:r/>
          </w:p>
        </w:tc>
        <w:tc>
          <w:tcPr>
            <w:tcMar>
              <w:left w:w="15" w:type="dxa"/>
              <w:top w:w="15" w:type="dxa"/>
              <w:right w:w="15" w:type="dxa"/>
              <w:bottom w:w="0" w:type="dxa"/>
            </w:tcMar>
            <w:tcW w:w="3099"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每周至少全面擦洗</w:t>
            </w:r>
            <w:r>
              <w:rPr>
                <w:rFonts w:ascii="宋体" w:hAnsi="宋体"/>
                <w:color w:val="auto"/>
                <w:szCs w:val="21"/>
                <w:highlight w:val="none"/>
              </w:rPr>
              <w:t xml:space="preserve">2</w:t>
            </w:r>
            <w:r>
              <w:rPr>
                <w:rFonts w:hint="eastAsia" w:ascii="宋体" w:hAnsi="宋体"/>
                <w:color w:val="auto"/>
                <w:szCs w:val="21"/>
                <w:highlight w:val="none"/>
              </w:rPr>
              <w:t xml:space="preserve">次，做到牌面无污染，无泥渍。</w:t>
            </w:r>
            <w:r/>
          </w:p>
        </w:tc>
        <w:tc>
          <w:tcPr>
            <w:tcW w:w="170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块</w:t>
            </w:r>
            <w:r/>
          </w:p>
        </w:tc>
        <w:tc>
          <w:tcPr>
            <w:tcMar>
              <w:left w:w="15" w:type="dxa"/>
              <w:top w:w="15" w:type="dxa"/>
              <w:right w:w="15" w:type="dxa"/>
              <w:bottom w:w="0" w:type="dxa"/>
            </w:tcMar>
            <w:tcW w:w="1701"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t xml:space="preserve">16</w:t>
            </w:r>
            <w:r/>
          </w:p>
        </w:tc>
      </w:tr>
      <w:tr>
        <w:trPr>
          <w:jc w:val="center"/>
          <w:trHeight w:val="397"/>
        </w:trPr>
        <w:tc>
          <w:tcPr>
            <w:tcMar>
              <w:left w:w="15" w:type="dxa"/>
              <w:top w:w="15" w:type="dxa"/>
              <w:right w:w="15" w:type="dxa"/>
              <w:bottom w:w="0" w:type="dxa"/>
            </w:tcMar>
            <w:tcW w:w="811"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t xml:space="preserve">4</w:t>
            </w:r>
            <w:r/>
          </w:p>
        </w:tc>
        <w:tc>
          <w:tcPr>
            <w:tcMar>
              <w:left w:w="15" w:type="dxa"/>
              <w:top w:w="15" w:type="dxa"/>
              <w:right w:w="15" w:type="dxa"/>
              <w:bottom w:w="0" w:type="dxa"/>
            </w:tcMar>
            <w:tcW w:w="1559"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设施（护栏）日常养护</w:t>
            </w:r>
            <w:r/>
          </w:p>
        </w:tc>
        <w:tc>
          <w:tcPr>
            <w:tcMar>
              <w:left w:w="15" w:type="dxa"/>
              <w:top w:w="15" w:type="dxa"/>
              <w:right w:w="15" w:type="dxa"/>
              <w:bottom w:w="0" w:type="dxa"/>
            </w:tcMar>
            <w:tcW w:w="3099"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每周至少全面擦洗</w:t>
            </w:r>
            <w:r>
              <w:rPr>
                <w:rFonts w:ascii="宋体" w:hAnsi="宋体"/>
                <w:color w:val="auto"/>
                <w:szCs w:val="21"/>
                <w:highlight w:val="none"/>
              </w:rPr>
              <w:t xml:space="preserve">1</w:t>
            </w:r>
            <w:r>
              <w:rPr>
                <w:rFonts w:hint="eastAsia" w:ascii="宋体" w:hAnsi="宋体"/>
                <w:color w:val="auto"/>
                <w:szCs w:val="21"/>
                <w:highlight w:val="none"/>
              </w:rPr>
              <w:t xml:space="preserve">次，每日对护栏进行巡查，发现损坏及时上报。</w:t>
            </w:r>
            <w:r/>
          </w:p>
        </w:tc>
        <w:tc>
          <w:tcPr>
            <w:tcW w:w="170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w:t>
            </w:r>
            <w:r/>
          </w:p>
        </w:tc>
        <w:tc>
          <w:tcPr>
            <w:tcMar>
              <w:left w:w="15" w:type="dxa"/>
              <w:top w:w="15" w:type="dxa"/>
              <w:right w:w="15" w:type="dxa"/>
              <w:bottom w:w="0" w:type="dxa"/>
            </w:tcMar>
            <w:tcW w:w="1701"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t xml:space="preserve">400</w:t>
            </w:r>
            <w:r/>
          </w:p>
        </w:tc>
      </w:tr>
      <w:tr>
        <w:trPr>
          <w:jc w:val="center"/>
          <w:trHeight w:val="35"/>
        </w:trPr>
        <w:tc>
          <w:tcPr>
            <w:tcMar>
              <w:left w:w="15" w:type="dxa"/>
              <w:top w:w="15" w:type="dxa"/>
              <w:right w:w="15" w:type="dxa"/>
              <w:bottom w:w="0" w:type="dxa"/>
            </w:tcMar>
            <w:tcW w:w="811"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t xml:space="preserve">5</w:t>
            </w:r>
            <w:r/>
          </w:p>
        </w:tc>
        <w:tc>
          <w:tcPr>
            <w:tcMar>
              <w:left w:w="15" w:type="dxa"/>
              <w:top w:w="15" w:type="dxa"/>
              <w:right w:w="15" w:type="dxa"/>
              <w:bottom w:w="0" w:type="dxa"/>
            </w:tcMar>
            <w:tcW w:w="1559"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汛后淤泥冲洗</w:t>
            </w:r>
            <w:r/>
          </w:p>
        </w:tc>
        <w:tc>
          <w:tcPr>
            <w:tcMar>
              <w:left w:w="15" w:type="dxa"/>
              <w:top w:w="15" w:type="dxa"/>
              <w:right w:w="15" w:type="dxa"/>
              <w:bottom w:w="0" w:type="dxa"/>
            </w:tcMar>
            <w:tcW w:w="3099"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汛后组织人员对淤泥及时清理。</w:t>
            </w:r>
            <w:r/>
          </w:p>
        </w:tc>
        <w:tc>
          <w:tcPr>
            <w:tcW w:w="170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m2</w:t>
            </w:r>
            <w:r/>
          </w:p>
        </w:tc>
        <w:tc>
          <w:tcPr>
            <w:tcMar>
              <w:left w:w="15" w:type="dxa"/>
              <w:top w:w="15" w:type="dxa"/>
              <w:right w:w="15" w:type="dxa"/>
              <w:bottom w:w="0" w:type="dxa"/>
            </w:tcMar>
            <w:tcW w:w="1701"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t xml:space="preserve">2050</w:t>
            </w:r>
            <w:r/>
          </w:p>
        </w:tc>
      </w:tr>
      <w:tr>
        <w:trPr>
          <w:jc w:val="center"/>
          <w:trHeight w:val="397"/>
        </w:trPr>
        <w:tc>
          <w:tcPr>
            <w:tcMar>
              <w:left w:w="15" w:type="dxa"/>
              <w:top w:w="15" w:type="dxa"/>
              <w:right w:w="15" w:type="dxa"/>
              <w:bottom w:w="0" w:type="dxa"/>
            </w:tcMar>
            <w:tcW w:w="811"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二</w:t>
            </w:r>
            <w:r/>
          </w:p>
        </w:tc>
        <w:tc>
          <w:tcPr>
            <w:tcMar>
              <w:left w:w="15" w:type="dxa"/>
              <w:top w:w="15" w:type="dxa"/>
              <w:right w:w="15" w:type="dxa"/>
              <w:bottom w:w="0" w:type="dxa"/>
            </w:tcMar>
            <w:tcW w:w="1559"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绿化养护</w:t>
            </w:r>
            <w:r/>
          </w:p>
        </w:tc>
        <w:tc>
          <w:tcPr>
            <w:tcMar>
              <w:left w:w="15" w:type="dxa"/>
              <w:top w:w="15" w:type="dxa"/>
              <w:right w:w="15" w:type="dxa"/>
              <w:bottom w:w="0" w:type="dxa"/>
            </w:tcMar>
            <w:tcW w:w="3099"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p>
        </w:tc>
        <w:tc>
          <w:tcPr>
            <w:tcW w:w="170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701"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397"/>
        </w:trPr>
        <w:tc>
          <w:tcPr>
            <w:tcMar>
              <w:left w:w="15" w:type="dxa"/>
              <w:top w:w="15" w:type="dxa"/>
              <w:right w:w="15" w:type="dxa"/>
              <w:bottom w:w="0" w:type="dxa"/>
            </w:tcMar>
            <w:tcW w:w="811"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t xml:space="preserve">1</w:t>
            </w:r>
            <w:r/>
          </w:p>
        </w:tc>
        <w:tc>
          <w:tcPr>
            <w:tcMar>
              <w:left w:w="15" w:type="dxa"/>
              <w:top w:w="15" w:type="dxa"/>
              <w:right w:w="15" w:type="dxa"/>
              <w:bottom w:w="0" w:type="dxa"/>
            </w:tcMar>
            <w:tcW w:w="1559"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草皮维护</w:t>
            </w:r>
            <w:r/>
          </w:p>
        </w:tc>
        <w:tc>
          <w:tcPr>
            <w:tcMar>
              <w:left w:w="15" w:type="dxa"/>
              <w:top w:w="15" w:type="dxa"/>
              <w:right w:w="15" w:type="dxa"/>
              <w:bottom w:w="0" w:type="dxa"/>
            </w:tcMar>
            <w:tcW w:w="3099"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养护期内对草皮、绿篱养护及修剪，每月</w:t>
            </w:r>
            <w:r>
              <w:rPr>
                <w:rFonts w:ascii="宋体" w:hAnsi="宋体"/>
                <w:color w:val="auto"/>
                <w:szCs w:val="21"/>
                <w:highlight w:val="none"/>
              </w:rPr>
              <w:t xml:space="preserve">2</w:t>
            </w:r>
            <w:r>
              <w:rPr>
                <w:rFonts w:hint="eastAsia" w:ascii="宋体" w:hAnsi="宋体"/>
                <w:color w:val="auto"/>
                <w:szCs w:val="21"/>
                <w:highlight w:val="none"/>
              </w:rPr>
              <w:t xml:space="preserve">次。</w:t>
            </w:r>
            <w:r/>
          </w:p>
        </w:tc>
        <w:tc>
          <w:tcPr>
            <w:tcW w:w="170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m2</w:t>
            </w:r>
            <w:r/>
          </w:p>
        </w:tc>
        <w:tc>
          <w:tcPr>
            <w:tcMar>
              <w:left w:w="15" w:type="dxa"/>
              <w:top w:w="15" w:type="dxa"/>
              <w:right w:w="15" w:type="dxa"/>
              <w:bottom w:w="0" w:type="dxa"/>
            </w:tcMar>
            <w:tcW w:w="1701"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t xml:space="preserve">3600</w:t>
            </w:r>
            <w:r/>
          </w:p>
        </w:tc>
      </w:tr>
      <w:tr>
        <w:trPr>
          <w:jc w:val="center"/>
          <w:trHeight w:val="397"/>
        </w:trPr>
        <w:tc>
          <w:tcPr>
            <w:tcMar>
              <w:left w:w="15" w:type="dxa"/>
              <w:top w:w="15" w:type="dxa"/>
              <w:right w:w="15" w:type="dxa"/>
              <w:bottom w:w="0" w:type="dxa"/>
            </w:tcMar>
            <w:tcW w:w="811"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t xml:space="preserve">2</w:t>
            </w:r>
            <w:r/>
          </w:p>
        </w:tc>
        <w:tc>
          <w:tcPr>
            <w:tcMar>
              <w:left w:w="15" w:type="dxa"/>
              <w:top w:w="15" w:type="dxa"/>
              <w:right w:w="15" w:type="dxa"/>
              <w:bottom w:w="0" w:type="dxa"/>
            </w:tcMar>
            <w:tcW w:w="1559"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灌木养护</w:t>
            </w:r>
            <w:r/>
          </w:p>
        </w:tc>
        <w:tc>
          <w:tcPr>
            <w:tcMar>
              <w:left w:w="15" w:type="dxa"/>
              <w:top w:w="15" w:type="dxa"/>
              <w:right w:w="15" w:type="dxa"/>
              <w:bottom w:w="0" w:type="dxa"/>
            </w:tcMar>
            <w:tcW w:w="3099"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对灌木养护及修剪，每月</w:t>
            </w:r>
            <w:r>
              <w:rPr>
                <w:rFonts w:ascii="宋体" w:hAnsi="宋体"/>
                <w:color w:val="auto"/>
                <w:szCs w:val="21"/>
                <w:highlight w:val="none"/>
              </w:rPr>
              <w:t xml:space="preserve">2</w:t>
            </w:r>
            <w:r>
              <w:rPr>
                <w:rFonts w:hint="eastAsia" w:ascii="宋体" w:hAnsi="宋体"/>
                <w:color w:val="auto"/>
                <w:szCs w:val="21"/>
                <w:highlight w:val="none"/>
              </w:rPr>
              <w:t xml:space="preserve">次。</w:t>
            </w:r>
            <w:r/>
          </w:p>
        </w:tc>
        <w:tc>
          <w:tcPr>
            <w:tcW w:w="170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株</w:t>
            </w:r>
            <w:r/>
          </w:p>
        </w:tc>
        <w:tc>
          <w:tcPr>
            <w:tcMar>
              <w:left w:w="15" w:type="dxa"/>
              <w:top w:w="15" w:type="dxa"/>
              <w:right w:w="15" w:type="dxa"/>
              <w:bottom w:w="0" w:type="dxa"/>
            </w:tcMar>
            <w:tcW w:w="1701"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t xml:space="preserve">110</w:t>
            </w:r>
            <w:r/>
          </w:p>
        </w:tc>
      </w:tr>
      <w:tr>
        <w:trPr>
          <w:jc w:val="center"/>
          <w:trHeight w:val="397"/>
        </w:trPr>
        <w:tc>
          <w:tcPr>
            <w:tcMar>
              <w:left w:w="15" w:type="dxa"/>
              <w:top w:w="15" w:type="dxa"/>
              <w:right w:w="15" w:type="dxa"/>
              <w:bottom w:w="0" w:type="dxa"/>
            </w:tcMar>
            <w:tcW w:w="811"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三</w:t>
            </w:r>
            <w:r/>
          </w:p>
        </w:tc>
        <w:tc>
          <w:tcPr>
            <w:tcMar>
              <w:left w:w="15" w:type="dxa"/>
              <w:top w:w="15" w:type="dxa"/>
              <w:right w:w="15" w:type="dxa"/>
              <w:bottom w:w="0" w:type="dxa"/>
            </w:tcMar>
            <w:tcW w:w="1559"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垃圾桶处理</w:t>
            </w:r>
            <w:r/>
          </w:p>
        </w:tc>
        <w:tc>
          <w:tcPr>
            <w:tcMar>
              <w:left w:w="15" w:type="dxa"/>
              <w:top w:w="15" w:type="dxa"/>
              <w:right w:w="15" w:type="dxa"/>
              <w:bottom w:w="0" w:type="dxa"/>
            </w:tcMar>
            <w:tcW w:w="3099"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每日对垃圾桶进行清理，垃圾及时清运。报价含垃圾袋及垃圾处理费。</w:t>
            </w:r>
            <w:r/>
          </w:p>
        </w:tc>
        <w:tc>
          <w:tcPr>
            <w:tcW w:w="170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个</w:t>
            </w:r>
            <w:r/>
          </w:p>
        </w:tc>
        <w:tc>
          <w:tcPr>
            <w:tcMar>
              <w:left w:w="15" w:type="dxa"/>
              <w:top w:w="15" w:type="dxa"/>
              <w:right w:w="15" w:type="dxa"/>
              <w:bottom w:w="0" w:type="dxa"/>
            </w:tcMar>
            <w:tcW w:w="1701"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t xml:space="preserve">6</w:t>
            </w:r>
            <w:r/>
          </w:p>
        </w:tc>
      </w:tr>
      <w:tr>
        <w:trPr>
          <w:jc w:val="center"/>
          <w:trHeight w:val="397"/>
        </w:trPr>
        <w:tc>
          <w:tcPr>
            <w:tcMar>
              <w:left w:w="15" w:type="dxa"/>
              <w:top w:w="15" w:type="dxa"/>
              <w:right w:w="15" w:type="dxa"/>
              <w:bottom w:w="0" w:type="dxa"/>
            </w:tcMar>
            <w:tcW w:w="811"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四</w:t>
            </w:r>
            <w:r/>
          </w:p>
        </w:tc>
        <w:tc>
          <w:tcPr>
            <w:tcMar>
              <w:left w:w="15" w:type="dxa"/>
              <w:top w:w="15" w:type="dxa"/>
              <w:right w:w="15" w:type="dxa"/>
              <w:bottom w:w="0" w:type="dxa"/>
            </w:tcMar>
            <w:tcW w:w="1559"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养护巡查</w:t>
            </w:r>
            <w:r/>
          </w:p>
        </w:tc>
        <w:tc>
          <w:tcPr>
            <w:tcMar>
              <w:left w:w="15" w:type="dxa"/>
              <w:top w:w="15" w:type="dxa"/>
              <w:right w:w="15" w:type="dxa"/>
              <w:bottom w:w="0" w:type="dxa"/>
            </w:tcMar>
            <w:tcW w:w="3099"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广场内禁止卖艺、乞讨、拾荒及摊贩进入，禁止焚烧垃圾，损坏绿化。禁止市民靠近临水面，巡查人员发现上述情况及时制止。</w:t>
            </w:r>
            <w:r/>
          </w:p>
        </w:tc>
        <w:tc>
          <w:tcPr>
            <w:tcW w:w="170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项</w:t>
            </w:r>
            <w:r/>
          </w:p>
        </w:tc>
        <w:tc>
          <w:tcPr>
            <w:tcMar>
              <w:left w:w="15" w:type="dxa"/>
              <w:top w:w="15" w:type="dxa"/>
              <w:right w:w="15" w:type="dxa"/>
              <w:bottom w:w="0" w:type="dxa"/>
            </w:tcMar>
            <w:tcW w:w="1701"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1</w:t>
            </w:r>
            <w:r/>
          </w:p>
        </w:tc>
      </w:tr>
    </w:tbl>
    <w:p>
      <w:pPr>
        <w:jc w:val="left"/>
        <w:spacing w:line="360" w:lineRule="exact"/>
        <w:rPr>
          <w:rFonts w:ascii="宋体" w:hAnsi="宋体"/>
          <w:b/>
          <w:color w:val="auto"/>
          <w:szCs w:val="21"/>
          <w:highlight w:val="none"/>
        </w:rPr>
      </w:pPr>
      <w:r>
        <w:rPr>
          <w:rFonts w:hint="eastAsia" w:ascii="宋体" w:hAnsi="宋体"/>
          <w:b/>
          <w:color w:val="auto"/>
          <w:szCs w:val="21"/>
          <w:highlight w:val="none"/>
        </w:rPr>
        <w:t xml:space="preserve">注：1、以上工程量均为估算工程量，供供应商参考，具体实际养护工程量以实际踏勘为准。</w:t>
      </w:r>
      <w:r/>
    </w:p>
    <w:p>
      <w:pPr>
        <w:jc w:val="left"/>
        <w:spacing w:line="360" w:lineRule="exact"/>
        <w:rPr>
          <w:rFonts w:ascii="宋体" w:hAnsi="宋体"/>
          <w:b/>
          <w:color w:val="auto"/>
          <w:szCs w:val="21"/>
          <w:highlight w:val="none"/>
        </w:rPr>
      </w:pPr>
      <w:r>
        <w:rPr>
          <w:rFonts w:ascii="宋体" w:hAnsi="宋体"/>
          <w:b/>
          <w:color w:val="auto"/>
          <w:szCs w:val="21"/>
          <w:highlight w:val="none"/>
        </w:rPr>
      </w:r>
      <w:r/>
    </w:p>
    <w:p>
      <w:pPr>
        <w:jc w:val="left"/>
        <w:spacing w:line="360" w:lineRule="exact"/>
        <w:rPr>
          <w:rFonts w:ascii="宋体" w:hAnsi="宋体"/>
          <w:b/>
          <w:color w:val="auto"/>
          <w:szCs w:val="21"/>
          <w:highlight w:val="none"/>
        </w:rPr>
      </w:pPr>
      <w:r>
        <w:rPr>
          <w:rFonts w:hint="eastAsia" w:ascii="宋体" w:hAnsi="宋体"/>
          <w:b/>
          <w:color w:val="auto"/>
          <w:szCs w:val="21"/>
          <w:highlight w:val="none"/>
        </w:rPr>
        <w:t xml:space="preserve">分包四：</w:t>
      </w:r>
      <w:r/>
    </w:p>
    <w:p>
      <w:pPr>
        <w:ind w:left="210"/>
        <w:jc w:val="left"/>
        <w:spacing w:line="360" w:lineRule="auto"/>
        <w:rPr>
          <w:color w:val="auto"/>
          <w:szCs w:val="21"/>
          <w:highlight w:val="none"/>
        </w:rPr>
      </w:pPr>
      <w:r>
        <w:rPr>
          <w:rFonts w:hint="eastAsia" w:ascii="宋体" w:hAnsi="宋体"/>
          <w:b/>
          <w:color w:val="auto"/>
          <w:szCs w:val="21"/>
          <w:highlight w:val="none"/>
        </w:rPr>
        <w:t xml:space="preserve">防护林养护范围：</w:t>
      </w:r>
      <w:r>
        <w:rPr>
          <w:rFonts w:hint="eastAsia"/>
          <w:color w:val="auto"/>
          <w:szCs w:val="21"/>
          <w:highlight w:val="none"/>
        </w:rPr>
        <w:t xml:space="preserve">秦淮新河新老河口（0+000）至秦淮新河节制闸（15+050）和秦淮河东山桥（0+000）至运粮河口（8+250）总计约30.4公里堤防防护林养护（不含七桥瓮湿地公园约2公里、东山桥至宏运大道桥右岸1.3公里、秦淮新河河定桥至将军路桥左右岸约6公里、铁心桥至三江学院左右岸约2.5公里、西善桥至新河闸左右岸约3公里）及南京市秦淮河河道管理处院内（不含办公区）约120亩林木抚育、养护、巡查等工作。</w:t>
      </w:r>
      <w:r/>
    </w:p>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表一：人员要求表</w:t>
      </w:r>
      <w:r/>
    </w:p>
    <w:p>
      <w:pPr>
        <w:jc w:val="center"/>
        <w:rPr>
          <w:rFonts w:ascii="宋体" w:hAnsi="宋体"/>
          <w:color w:val="auto"/>
          <w:szCs w:val="21"/>
          <w:highlight w:val="none"/>
        </w:rPr>
      </w:pPr>
      <w:r>
        <w:rPr>
          <w:rFonts w:hint="eastAsia" w:ascii="宋体" w:hAnsi="宋体"/>
          <w:color w:val="auto"/>
          <w:szCs w:val="21"/>
          <w:highlight w:val="none"/>
        </w:rPr>
        <w:t xml:space="preserve">（要求供应商投入人员不低于下表要求）</w:t>
      </w:r>
      <w:r/>
    </w:p>
    <w:tbl>
      <w:tblPr>
        <w:tblStyle w:val="88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3381"/>
        <w:gridCol w:w="1840"/>
        <w:gridCol w:w="1850"/>
        <w:gridCol w:w="1848"/>
      </w:tblGrid>
      <w:tr>
        <w:trPr>
          <w:jc w:val="center"/>
          <w:trHeight w:val="436" w:hRule="exact"/>
        </w:trPr>
        <w:tc>
          <w:tcPr>
            <w:tcW w:w="482"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序号</w:t>
            </w:r>
            <w:r/>
          </w:p>
        </w:tc>
        <w:tc>
          <w:tcPr>
            <w:tcW w:w="1713"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名 称</w:t>
            </w:r>
            <w:r/>
          </w:p>
        </w:tc>
        <w:tc>
          <w:tcPr>
            <w:tcW w:w="932"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单位</w:t>
            </w:r>
            <w:r/>
          </w:p>
        </w:tc>
        <w:tc>
          <w:tcPr>
            <w:tcW w:w="937"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数量</w:t>
            </w:r>
            <w:r/>
          </w:p>
        </w:tc>
        <w:tc>
          <w:tcPr>
            <w:tcW w:w="936"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备注</w:t>
            </w:r>
            <w:r/>
          </w:p>
        </w:tc>
      </w:tr>
      <w:tr>
        <w:trPr>
          <w:jc w:val="center"/>
          <w:trHeight w:val="312"/>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管理人员（含项目负责人）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人</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936" w:type="pct"/>
            <w:vAlign w:val="center"/>
            <w:vMerge w:val="restart"/>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养护人员</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人</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绿化工</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人</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bl>
    <w:p>
      <w:pPr>
        <w:jc w:val="center"/>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表二：设备要求表</w:t>
      </w:r>
      <w:r/>
    </w:p>
    <w:p>
      <w:pPr>
        <w:jc w:val="center"/>
        <w:rPr>
          <w:rFonts w:ascii="宋体" w:hAnsi="宋体"/>
          <w:color w:val="auto"/>
          <w:szCs w:val="21"/>
          <w:highlight w:val="none"/>
        </w:rPr>
      </w:pPr>
      <w:r>
        <w:rPr>
          <w:rFonts w:hint="eastAsia" w:ascii="宋体" w:hAnsi="宋体"/>
          <w:color w:val="auto"/>
          <w:szCs w:val="21"/>
          <w:highlight w:val="none"/>
        </w:rPr>
        <w:t xml:space="preserve">（要求供应商投入设备不低于下表要求）</w:t>
      </w:r>
      <w:r/>
    </w:p>
    <w:tbl>
      <w:tblPr>
        <w:tblStyle w:val="88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3381"/>
        <w:gridCol w:w="1840"/>
        <w:gridCol w:w="1850"/>
        <w:gridCol w:w="1848"/>
      </w:tblGrid>
      <w:tr>
        <w:trPr>
          <w:jc w:val="center"/>
          <w:trHeight w:val="436" w:hRule="exact"/>
        </w:trPr>
        <w:tc>
          <w:tcPr>
            <w:tcW w:w="482"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序号</w:t>
            </w:r>
            <w:r/>
          </w:p>
        </w:tc>
        <w:tc>
          <w:tcPr>
            <w:tcW w:w="1713"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名 称</w:t>
            </w:r>
            <w:r/>
          </w:p>
        </w:tc>
        <w:tc>
          <w:tcPr>
            <w:tcW w:w="932"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单位</w:t>
            </w:r>
            <w:r/>
          </w:p>
        </w:tc>
        <w:tc>
          <w:tcPr>
            <w:tcW w:w="937"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数量</w:t>
            </w:r>
            <w:r/>
          </w:p>
        </w:tc>
        <w:tc>
          <w:tcPr>
            <w:tcW w:w="936"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备注</w:t>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巡查车辆</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辆</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0" w:type="auto"/>
            <w:vAlign w:val="center"/>
            <w:vMerge w:val="restart"/>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运输车辆</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辆</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摄像器材（含手机）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套</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割灌机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台</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电动三轮车</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辆</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吹风机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台</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绿篱机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台</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8</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打药机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台</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油锯</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套</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抽水机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台</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11</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高枝油锯</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台</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bl>
    <w:p>
      <w:pPr>
        <w:ind w:firstLine="420"/>
        <w:jc w:val="center"/>
        <w:spacing w:line="360" w:lineRule="auto"/>
        <w:rPr>
          <w:rFonts w:ascii="宋体" w:hAnsi="宋体"/>
          <w:bCs/>
          <w:color w:val="auto"/>
          <w:szCs w:val="21"/>
          <w:highlight w:val="none"/>
        </w:rPr>
      </w:pPr>
      <w:r>
        <w:rPr>
          <w:rFonts w:ascii="宋体" w:hAnsi="宋体"/>
          <w:bCs/>
          <w:color w:val="auto"/>
          <w:szCs w:val="21"/>
          <w:highlight w:val="none"/>
        </w:rPr>
      </w:r>
      <w:r/>
    </w:p>
    <w:p>
      <w:pPr>
        <w:ind w:firstLine="422"/>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表三：工程量清单</w:t>
      </w:r>
      <w:r/>
    </w:p>
    <w:tbl>
      <w:tblPr>
        <w:tblStyle w:val="88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3683"/>
        <w:gridCol w:w="1538"/>
        <w:gridCol w:w="1850"/>
        <w:gridCol w:w="1848"/>
      </w:tblGrid>
      <w:tr>
        <w:trPr>
          <w:jc w:val="center"/>
          <w:trHeight w:val="436" w:hRule="exact"/>
        </w:trPr>
        <w:tc>
          <w:tcPr>
            <w:tcW w:w="482"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序号</w:t>
            </w:r>
            <w:r/>
          </w:p>
        </w:tc>
        <w:tc>
          <w:tcPr>
            <w:tcW w:w="1866"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名 称</w:t>
            </w:r>
            <w:r/>
          </w:p>
        </w:tc>
        <w:tc>
          <w:tcPr>
            <w:tcW w:w="779"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单位</w:t>
            </w:r>
            <w:r/>
          </w:p>
        </w:tc>
        <w:tc>
          <w:tcPr>
            <w:tcW w:w="937"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工程量</w:t>
            </w:r>
            <w:r/>
          </w:p>
        </w:tc>
        <w:tc>
          <w:tcPr>
            <w:tcW w:w="936"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备注</w:t>
            </w:r>
            <w:r/>
          </w:p>
        </w:tc>
      </w:tr>
      <w:tr>
        <w:trPr>
          <w:jc w:val="center"/>
          <w:trHeight w:val="550"/>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866"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绿地林木抚育及修整</w:t>
            </w:r>
            <w:r/>
          </w:p>
        </w:tc>
        <w:tc>
          <w:tcPr>
            <w:tcW w:w="77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m2</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1156500</w:t>
            </w:r>
            <w:r/>
          </w:p>
        </w:tc>
        <w:tc>
          <w:tcPr>
            <w:tcW w:w="936" w:type="pct"/>
            <w:vAlign w:val="center"/>
            <w:vMerge w:val="restart"/>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1、其余未尽内容及要求详见见“四、养护工作要求”。</w:t>
            </w:r>
            <w:r/>
          </w:p>
        </w:tc>
      </w:tr>
      <w:tr>
        <w:trPr>
          <w:jc w:val="center"/>
          <w:trHeight w:val="564"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1866"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杂树清理及灌木修整</w:t>
            </w:r>
            <w:r/>
          </w:p>
        </w:tc>
        <w:tc>
          <w:tcPr>
            <w:tcW w:w="77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m2</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43950</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494"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866"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病虫害防治</w:t>
            </w:r>
            <w:r/>
          </w:p>
        </w:tc>
        <w:tc>
          <w:tcPr>
            <w:tcW w:w="77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m2</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1156500</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bl>
    <w:p>
      <w:pPr>
        <w:ind w:firstLine="422"/>
        <w:jc w:val="center"/>
        <w:spacing w:line="360" w:lineRule="auto"/>
        <w:rPr>
          <w:rFonts w:ascii="宋体" w:hAnsi="宋体"/>
          <w:b/>
          <w:color w:val="auto"/>
          <w:szCs w:val="21"/>
          <w:highlight w:val="none"/>
        </w:rPr>
      </w:pPr>
      <w:r>
        <w:rPr>
          <w:rFonts w:ascii="宋体" w:hAnsi="宋体"/>
          <w:b/>
          <w:color w:val="auto"/>
          <w:szCs w:val="21"/>
          <w:highlight w:val="none"/>
        </w:rPr>
      </w:r>
      <w:r/>
    </w:p>
    <w:p>
      <w:pPr>
        <w:jc w:val="left"/>
        <w:spacing w:line="360" w:lineRule="exact"/>
        <w:rPr>
          <w:rFonts w:ascii="宋体" w:hAnsi="宋体"/>
          <w:b/>
          <w:color w:val="auto"/>
          <w:szCs w:val="21"/>
          <w:highlight w:val="none"/>
        </w:rPr>
      </w:pPr>
      <w:r>
        <w:rPr>
          <w:rFonts w:hint="eastAsia" w:ascii="宋体" w:hAnsi="宋体"/>
          <w:b/>
          <w:color w:val="auto"/>
          <w:szCs w:val="21"/>
          <w:highlight w:val="none"/>
        </w:rPr>
        <w:t xml:space="preserve">    三、养护期限: </w:t>
      </w:r>
      <w:r>
        <w:rPr>
          <w:rFonts w:hint="eastAsia" w:ascii="宋体" w:hAnsi="宋体"/>
          <w:color w:val="auto"/>
          <w:szCs w:val="21"/>
          <w:highlight w:val="none"/>
        </w:rPr>
        <w:t xml:space="preserve">12个月</w:t>
      </w:r>
      <w:r/>
    </w:p>
    <w:p>
      <w:pPr>
        <w:ind w:firstLine="422"/>
        <w:jc w:val="left"/>
        <w:spacing w:line="380" w:lineRule="exact"/>
        <w:rPr>
          <w:rFonts w:ascii="宋体" w:hAnsi="宋体"/>
          <w:b/>
          <w:color w:val="auto"/>
          <w:szCs w:val="21"/>
          <w:highlight w:val="none"/>
        </w:rPr>
      </w:pPr>
      <w:r>
        <w:rPr>
          <w:rFonts w:hint="eastAsia" w:ascii="宋体" w:hAnsi="宋体"/>
          <w:b/>
          <w:color w:val="auto"/>
          <w:szCs w:val="21"/>
          <w:highlight w:val="none"/>
        </w:rPr>
        <w:t xml:space="preserve">四、包一、包二、包三养护工作要求：</w:t>
      </w:r>
      <w:r/>
    </w:p>
    <w:p>
      <w:pPr>
        <w:ind w:firstLine="420"/>
        <w:jc w:val="left"/>
        <w:spacing w:line="380" w:lineRule="exact"/>
        <w:rPr>
          <w:rFonts w:ascii="宋体" w:hAnsi="宋体"/>
          <w:color w:val="auto"/>
          <w:szCs w:val="21"/>
          <w:highlight w:val="none"/>
        </w:rPr>
      </w:pPr>
      <w:r>
        <w:rPr>
          <w:rFonts w:hint="eastAsia" w:ascii="宋体" w:hAnsi="宋体"/>
          <w:color w:val="auto"/>
          <w:szCs w:val="21"/>
          <w:highlight w:val="none"/>
        </w:rPr>
        <w:t xml:space="preserve">（1）河道巡查</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（一）河道堤防的巡视检查分为日常巡视检查和特别巡视检查两类。</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（二）日常巡视检查的次数：非汛期每天一次，汛期每天至少两次。</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（三）特别巡视检查：当河道堤防遇到严重影响其安全运用的情况（如发生暴雨、大洪水、有感地震、强热带风暴、持续高水位等），发生比较严重的损坏或破坏等危险迹象时，应进行特别巡视检查。</w:t>
      </w:r>
      <w:r/>
    </w:p>
    <w:p>
      <w:pPr>
        <w:ind w:firstLine="420"/>
        <w:spacing w:line="380" w:lineRule="exact"/>
        <w:rPr>
          <w:rFonts w:ascii="宋体" w:hAnsi="宋体"/>
          <w:color w:val="auto"/>
          <w:szCs w:val="21"/>
          <w:highlight w:val="none"/>
        </w:rPr>
      </w:pPr>
      <w:r/>
      <w:bookmarkStart w:id="39" w:name="_Hlk127454239"/>
      <w:r>
        <w:rPr>
          <w:rFonts w:hint="eastAsia" w:ascii="宋体" w:hAnsi="宋体"/>
          <w:color w:val="auto"/>
          <w:szCs w:val="21"/>
          <w:highlight w:val="none"/>
        </w:rPr>
        <w:t xml:space="preserve">（四）升降桩维护管理：当管理单位有工作需要时，养护单位应在接到通知后半小时内安排专人到场对升降桩进行开闭操作。</w:t>
      </w:r>
      <w:bookmarkEnd w:id="39"/>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（五）巡视检查的项目和内容：</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1．钢筋砼防洪墙</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有无裂缝、异常变形、挤碎、错断、倾斜、伸缩缝开合、止水破坏或失效、渗漏、剥蚀、脱落、露筋和其他异常。</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2．迎水坡</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护坡是否损坏；有无裂缝、剥落、滑动、隆起、塌坑、冲刷、植物滋生，近堤水面有无冒泡、变浑或旋涡等其他异常。</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3．堤顶</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有无裂缝、异常变形、积水、植物滋生；路面有无坑洼车辙、沉陷、波浪；防浪墙有无开裂、挤碎、架空、错断、倾斜、下沉等；堤肩有无雨淋沟及雨淋坑。</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4．背水坡及戗台</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有无裂缝、剥落、滑动、隆起、塌坑、雨淋沟、散浸、冒水、渗水坑或流土、管涌等；草皮护坡植被是否完好；有无兽洞、蚁穴等隐患。</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5．有关管理设施</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各类里程碑、百米桩、警示牌、行车标志、路障、路卡、道杆等设施是否整洁、完好。</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6．绿化及开发</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主要检查绿化植被的成活率、保存率情况；有无砍伐、偷盗、破坏植被情况。</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7．其他</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在堤防管理范围内有无违章搭建、违章堆放、违章种植、倾倒垃圾等违章活动；非法取土、弃土或其他生产建设活动；有无坍坡、有无回流、旋涡等异常水流流态，其中包二（秦淮河河定桥（0+350）至秦淮新河红庙桥（8+850））中另增加对秦淮新河左岸水月秦淮小区段加强巡查，发现违建等问题及时上报要求。</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（五）巡视检查记录和处理</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1．巡视检查时应带好必要的辅助工具、记录笔簿和照相摄影器材。</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2．每次巡视检查应作出真实记录，如发现异常，应详细记述时间、桩号、部位、异常状态。</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3．现场记录必须及时整理，还应将本次巡视检查结果与以往巡视检查结果进行比较分析，如有问题或异常情况，应立即进行复查，以保证记录的准确性。</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4．日常巡视检查中发现的违章种植、简易搭建、堆放、偷倒垃圾（指零星体积不超过2立方米）等行为及时处理。发现的险情，应立即采取应急措施，并及时汇报。</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5．各种巡视检查记录表、图件、照片均应整理归档，专人负责保管。</w:t>
      </w:r>
      <w:r/>
    </w:p>
    <w:p>
      <w:pPr>
        <w:ind w:left="118" w:firstLine="210"/>
        <w:spacing w:after="120"/>
        <w:rPr>
          <w:color w:val="auto"/>
          <w:highlight w:val="none"/>
        </w:rPr>
      </w:pPr>
      <w:r>
        <w:rPr>
          <w:rFonts w:hint="eastAsia" w:cs="宋体"/>
          <w:color w:val="auto"/>
          <w:szCs w:val="21"/>
          <w:highlight w:val="none"/>
        </w:rPr>
        <w:t xml:space="preserve">★6.项目实施过程中不得出现任何安全事故，供应商需为作业人员、服务人员缴纳相关保险，人员上岗前应做好岗前培训工作，不得拖欠任何工作人员薪资等问题，一旦出现，均由供应商负责。（提供承诺书原件）</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（2）河道养护</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（一）养护内容及标准</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1、堤顶及防汛道路。堤顶道路定期清扫，堤顶路面整洁、平整，无积水，无坑洼，堤肩平整、顺直，无垃圾、杂草、杂物。</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2、</w:t>
      </w:r>
      <w:bookmarkStart w:id="40" w:name="_Hlk127454272"/>
      <w:r>
        <w:rPr>
          <w:rFonts w:hint="eastAsia" w:ascii="宋体" w:hAnsi="宋体"/>
          <w:color w:val="auto"/>
          <w:szCs w:val="21"/>
          <w:highlight w:val="none"/>
        </w:rPr>
        <w:t xml:space="preserve">迎水坡（含临水岸水位变幅区）、背水坡及戗台。迎水坡（含临水岸水位变幅区）定</w:t>
      </w:r>
      <w:bookmarkEnd w:id="40"/>
      <w:r>
        <w:rPr>
          <w:rFonts w:hint="eastAsia" w:ascii="宋体" w:hAnsi="宋体"/>
          <w:color w:val="auto"/>
          <w:szCs w:val="21"/>
          <w:highlight w:val="none"/>
        </w:rPr>
        <w:t xml:space="preserve">时清扫，保持护坡整洁，每日不少于1次；护坡无松动、塌陷、淘空现象。雨淋沟、雨淋坑及时修复，坡面无杂草、垃圾、杂物。背水坡及戗台保持坡面整洁、平整，及时清除杂草、杂物、垃圾，每天不少于1次，无雨淋沟，无违章种植。</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3、防浪墙。墙体、压顶保持整洁，每天清扫不少于1次，沉降缝填料完好。及时发现、上报墙体损坏、墙体不均匀沉陷等现象。</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4、堆土区及护堤地。堆土区及护堤地整洁无杂物、无杂草、无种植，有巡查便道的，保持畅通。</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5、生物防护工程养护。草皮护坡及时修剪、清除杂草；保持平整美观，无高杆杂草，草皮高度一般不宜超过15厘米。新植草皮后一年内不少于3次人工拔除杂草，不得采用机械。   </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6、管理设施及堤防养护。管理设施包括里程桩、界碑、标志牌、宣传牌、护栏和限行设施等。里程桩、界碑、标牌（含标志牌、警示牌、险工险段及工程标牌、工程简介牌等）、护栏、道路限行设施应</w:t>
      </w:r>
      <w:bookmarkStart w:id="41" w:name="_Hlk127455139"/>
      <w:r/>
      <w:bookmarkStart w:id="42" w:name="_Hlk127454307"/>
      <w:r>
        <w:rPr>
          <w:rFonts w:hint="eastAsia" w:ascii="宋体" w:hAnsi="宋体"/>
          <w:color w:val="auto"/>
          <w:szCs w:val="21"/>
          <w:highlight w:val="none"/>
        </w:rPr>
        <w:t xml:space="preserve">在服务期内做好日常清洗、保洁及损坏修复工作，保证上述设施完整、清晰、美观。其中，道路限行设施应在服务期内每年进行1次除锈、油漆翻新等修复工作。</w:t>
      </w:r>
      <w:bookmarkEnd w:id="41"/>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对采购人提出的需开展的护栏、排水沟维修，草皮补植，雨林沟、动物洞穴回填等（包括但不限于上述堤防修复项目），供应商</w:t>
      </w:r>
      <w:bookmarkEnd w:id="42"/>
      <w:r>
        <w:rPr>
          <w:rFonts w:hint="eastAsia" w:ascii="宋体" w:hAnsi="宋体"/>
          <w:color w:val="auto"/>
          <w:szCs w:val="21"/>
          <w:highlight w:val="none"/>
        </w:rPr>
        <w:t xml:space="preserve">应积极响应，由此产生的费用均包含在投标报价中。</w:t>
      </w:r>
      <w:r/>
    </w:p>
    <w:p>
      <w:pPr>
        <w:ind w:firstLine="420"/>
        <w:spacing w:line="380" w:lineRule="exact"/>
        <w:rPr>
          <w:rFonts w:ascii="宋体" w:hAnsi="宋体"/>
          <w:color w:val="auto"/>
          <w:szCs w:val="21"/>
          <w:highlight w:val="none"/>
        </w:rPr>
      </w:pPr>
      <w:r/>
      <w:bookmarkStart w:id="43" w:name="_Hlk127454326"/>
      <w:r>
        <w:rPr>
          <w:rFonts w:hint="eastAsia" w:ascii="宋体" w:hAnsi="宋体"/>
          <w:color w:val="auto"/>
          <w:szCs w:val="21"/>
          <w:highlight w:val="none"/>
        </w:rPr>
        <w:t xml:space="preserve">7、渣土清运。及时清运养护范围内违章偷倒的渣土，发现渣土后24小时内清运完成。</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8、汛后亲水平台淤泥清理。</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9、亲水平台步道芦苇荡清理。</w:t>
      </w:r>
      <w:bookmarkEnd w:id="43"/>
      <w:r>
        <w:rPr>
          <w:rFonts w:hint="eastAsia" w:ascii="宋体" w:hAnsi="宋体"/>
          <w:color w:val="auto"/>
          <w:szCs w:val="21"/>
          <w:highlight w:val="none"/>
        </w:rPr>
        <w:t xml:space="preserve">亲水平台步道芦苇荡应及时修剪、清理，保持步道行人通行畅通，保证步道人行功能正常。</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10、每日养护工作实际时间不少于8小时，遇节假日、重大活动、突发事件等，供应商需无条件服从采购人安排（包括不限于增加人员、设备用于应急处置等情况）。</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11、包一（秦淮河东山大桥（0+000）至运粮河口（8+250）及秦淮新河新老河口（0+000）至河定桥（0+350））中，增加重点路段垃圾清运要求：新老河口河定桥右岸汽修厂段等垃圾较多处，每日重点巡查，及时清理、清运。</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13、包四：防护林养护工作要求</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防护绿地林木抚育和修剪整齐，长势良好，无枯死木和明显病虫害，清理林下杂草藤蔓、病树枯枝，对杂树留强去弱。</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组织专业队伍，合理配置人工、机械，进行常年规范化管养，每个作业段至少1名熟练带班技术人员和1名熟练机具操作工人，日均投入人员不少于</w:t>
      </w:r>
      <w:r>
        <w:rPr>
          <w:rFonts w:hint="eastAsia" w:ascii="宋体" w:hAnsi="宋体"/>
          <w:color w:val="auto"/>
          <w:szCs w:val="21"/>
          <w:highlight w:val="none"/>
        </w:rPr>
        <w:t xml:space="preserve">7人；树木、绿篱、草皮修剪养护等机具每种不少于2</w:t>
      </w:r>
      <w:r>
        <w:rPr>
          <w:rFonts w:ascii="宋体" w:hAnsi="宋体"/>
          <w:color w:val="auto"/>
          <w:szCs w:val="21"/>
          <w:highlight w:val="none"/>
        </w:rPr>
        <w:t xml:space="preserve">台、交通和清运车辆不少于2辆、病虫害防治</w:t>
      </w:r>
      <w:r>
        <w:rPr>
          <w:rFonts w:hint="eastAsia" w:ascii="宋体" w:hAnsi="宋体"/>
          <w:color w:val="auto"/>
          <w:szCs w:val="21"/>
          <w:highlight w:val="none"/>
        </w:rPr>
        <w:t xml:space="preserve">器械不少于</w:t>
      </w:r>
      <w:r>
        <w:rPr>
          <w:rFonts w:ascii="宋体" w:hAnsi="宋体"/>
          <w:color w:val="auto"/>
          <w:szCs w:val="21"/>
          <w:highlight w:val="none"/>
        </w:rPr>
        <w:t xml:space="preserve">1台、抽水机具不少于1台</w:t>
      </w:r>
      <w:r>
        <w:rPr>
          <w:rFonts w:hint="eastAsia" w:ascii="宋体" w:hAnsi="宋体"/>
          <w:color w:val="auto"/>
          <w:szCs w:val="21"/>
          <w:highlight w:val="none"/>
        </w:rPr>
        <w:t xml:space="preserve">。</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3如遇防汛、台风、暴雨、暴雪和重大环境保障等特殊情况以及投诉、媒体曝光、意外伤害等突发事件，要有应急处置措施并及时消除负面影响。</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养护标准：根据秦淮河防护林实际情况，包括抚育管理（主要行道树及园林树木周围约1㎡块状抚育）、清理枯死木及杂树杂草、乔灌木修剪、树木修剪扶正、病虫害防治（刷白）、缺株补植等养护工作（河道蓝线范围草皮修剪、林下垃圾杂草等由河道养护项目承担），极端天气时排水或抗旱。</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树木块状抚育 </w:t>
      </w:r>
      <w:r>
        <w:rPr>
          <w:rFonts w:hint="eastAsia" w:ascii="宋体" w:hAnsi="宋体"/>
          <w:color w:val="auto"/>
          <w:szCs w:val="21"/>
          <w:highlight w:val="none"/>
        </w:rPr>
        <w:t xml:space="preserve">每年不少于</w:t>
      </w:r>
      <w:r>
        <w:rPr>
          <w:rFonts w:ascii="宋体" w:hAnsi="宋体"/>
          <w:color w:val="auto"/>
          <w:szCs w:val="21"/>
          <w:highlight w:val="none"/>
        </w:rPr>
        <w:t xml:space="preserve">2次；每年结合病虫害规律和发生情况及时喷药防治病虫害2次 </w:t>
      </w:r>
      <w:r>
        <w:rPr>
          <w:rFonts w:hint="eastAsia" w:ascii="宋体" w:hAnsi="宋体"/>
          <w:color w:val="auto"/>
          <w:szCs w:val="21"/>
          <w:highlight w:val="none"/>
        </w:rPr>
        <w:t xml:space="preserve">，药品尽量选用低毒农药杀虫、杀菌剂和保护剂）；根据采购人要求，及时清除枯死树木并补植新树；冬季</w:t>
      </w:r>
      <w:r>
        <w:rPr>
          <w:rFonts w:ascii="宋体" w:hAnsi="宋体"/>
          <w:color w:val="auto"/>
          <w:szCs w:val="21"/>
          <w:highlight w:val="none"/>
        </w:rPr>
        <w:t xml:space="preserve">12月前对全部树木全面刷白1次。</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及时对树木修剪，每年1次（冬或早春，轻修剪）；花灌木、球形植物及行道树和庭院至少2次。林木在河道堤顶范围对人、车通行无阻挡及影响，对管线不发生干扰。遭遇降雨、降雪、台风等极端恶劣天气时，养护单位应增加人员设施投入，及时清理断枝和倒伏树木。</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7</w:t>
      </w:r>
      <w:r>
        <w:rPr>
          <w:rFonts w:ascii="宋体" w:hAnsi="宋体"/>
          <w:color w:val="auto"/>
          <w:szCs w:val="21"/>
          <w:highlight w:val="none"/>
        </w:rPr>
        <w:t xml:space="preserve">保持防护林及庭院绿化整洁，修剪垃圾（如树枝、树叶、草屑等）能及时清运。</w:t>
      </w:r>
      <w:r/>
    </w:p>
    <w:p>
      <w:pPr>
        <w:ind w:firstLine="420"/>
        <w:rPr>
          <w:rFonts w:ascii="宋体" w:hAnsi="宋体" w:cs="宋体"/>
          <w:color w:val="auto"/>
          <w:szCs w:val="21"/>
          <w:highlight w:val="none"/>
        </w:rPr>
      </w:pPr>
      <w:r>
        <w:rPr>
          <w:rFonts w:hint="eastAsia" w:ascii="宋体" w:hAnsi="宋体"/>
          <w:color w:val="auto"/>
          <w:szCs w:val="21"/>
          <w:highlight w:val="none"/>
        </w:rPr>
        <w:t xml:space="preserve">8</w:t>
      </w:r>
      <w:r>
        <w:rPr>
          <w:rFonts w:hint="eastAsia" w:ascii="宋体" w:hAnsi="宋体" w:cs="宋体"/>
          <w:color w:val="auto"/>
          <w:szCs w:val="21"/>
          <w:highlight w:val="none"/>
        </w:rPr>
        <w:t xml:space="preserve">乔木长势茂盛，规格整齐，树干挺直，定干高度一致，树冠丰满，观花树木按时茂盛开花，观果树木正常结果；无枯断枝、交叉枝、过密枝、并生枝、病虫枝、主干上无萌蘖枝；修剪、除萌、剥芽及时，枝条修剪截面平整，不留短桩（截面直径大于6cm的伤口涂防腐剂）；无明显病虫害，树干无未处理的腐洞，树体无明显的钉挂物、悬挂物；树穴设施完好，黄土不裸露，无杂草、杂物，树池内种植土要低于树池顶沿5cm；无死株、缺株、严重倾斜株；新栽、补栽的树木和易倒伏的树木应设立扶木支撑，绑扎规范有效；按照操作规程能及时的对树木进行冬季刷白。</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9植物浇水及时，按照规范及时施肥（每年休眠期施基肥，生长期施2-3次追肥，操作规范，施肥后技术覆盖，施肥方法适当，用量合理，不产生肥害）。</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10</w:t>
      </w:r>
      <w:r>
        <w:rPr>
          <w:rFonts w:ascii="宋体" w:hAnsi="宋体"/>
          <w:color w:val="auto"/>
          <w:szCs w:val="21"/>
          <w:highlight w:val="none"/>
        </w:rPr>
        <w:t xml:space="preserve">定期组织对防护林的调查、记录，制定年度更新改造和病虫害防治计划，编制月度</w:t>
      </w:r>
      <w:r>
        <w:rPr>
          <w:rFonts w:hint="eastAsia" w:ascii="宋体" w:hAnsi="宋体"/>
          <w:color w:val="auto"/>
          <w:szCs w:val="21"/>
          <w:highlight w:val="none"/>
        </w:rPr>
        <w:t xml:space="preserve">养护管理计划，每日上报作业台账。</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11每日养护工作实际时间不少于8小时，遇节假日、重大活动、突发事件等，供应商需无条件服从采购人安排（包括不限于增加人员、设备用于应急处置等情况）。</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包四：防护林巡视检查记录和处理</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1．巡视检查时应带好必要的辅助工具、记录笔簿和照相摄影器材。</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2．每次巡视检查应作出真实记录，如发现异常，应详细记述时间、桩号、部位、异常状态。</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3．现场记录必须及时整理，还应将本次巡视检查结果与以往巡视检查结果进行比较分析，如有问题或异常情况，应立即进行复查，以保证记录的准确性。</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4．日常巡视检查中发现的树木倒伏、枯死等情况上报管理处核实及时处理。针对树木倒伏影响行人安全的险情，应立即采取应急措施，并及时汇报。</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5．各种巡视检查记录表、图件、照片均应整理归档，专人负责保管。</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（二）养护范围</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河道堤防养护范围为河道管理范围（含临水岸水位变幅区），巡查含河道保护范围。</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秦淮河、秦淮新河管理范围：执行宁水办运管【2019】206号文中规定的范围。</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保护范围为管理范围外40米</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（三）养护工作记录和报告</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①、养护单位应做好养护工作记录，详细记述时间、桩号、部位、养护工作内容、投入情况、养护后状况，并绘出草图。</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②、每年年终总结养护工作报告。</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③、各种养护工作记录、图件和报告等均应整理归档。</w:t>
      </w:r>
      <w:r/>
    </w:p>
    <w:p>
      <w:pPr>
        <w:ind w:firstLine="422"/>
        <w:jc w:val="left"/>
        <w:spacing w:line="380" w:lineRule="exact"/>
        <w:rPr>
          <w:rFonts w:ascii="宋体" w:hAnsi="宋体"/>
          <w:b/>
          <w:color w:val="auto"/>
          <w:szCs w:val="21"/>
          <w:highlight w:val="none"/>
        </w:rPr>
      </w:pPr>
      <w:r>
        <w:rPr>
          <w:rFonts w:hint="eastAsia" w:ascii="宋体" w:hAnsi="宋体"/>
          <w:b/>
          <w:color w:val="auto"/>
          <w:szCs w:val="21"/>
          <w:highlight w:val="none"/>
        </w:rPr>
        <w:t xml:space="preserve">五、养护考核</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（1）考核得分90分及其以上为优秀，85-89分为合格，70-84分为基本合格，69分以下为不合格。</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在月度考核中管理处向养护单位提出的反馈意见，在下一个月度养护单位因主观原因未整改到位的或拒不整改的，则下月考核直接认定为不合格；一个考核年度内月度考核累计有两次考核不合格，自动解除合同，并扣除当月养护经费。</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（3）一个考核年度内无不合格月份且基本合格月份少于3次的，则年度考核自动认定为合格；一个考核年度内至多有一个不合格月份或基本合格月份多于2次的，则年度考核认定为基本合格。</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一票否决项：</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（4）管理处在日常管理中针对养护工作向养护单位提出意见，养护单位无合理理由未能反馈并及时整改到位的（三天内），则直接认定为当月考核不合格。</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（5）未经批准养护单位擅自砍伐河道树木的，自动解除合同，并扣除当月养护经费，另行选择其它养护单位，同时向上级主管部门汇报，取消该养护单位参加下年度该养护项目投标的资格。</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（6） 因养护单位主观原因造成的媒体曝光、12345投诉、市局及以上领导责令整改等情况，一个月内发生2次以上的，视整改情况认定为月度考核不合格或基本合格。</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（7）养护单位由于内部管理不到位发生安全生产事故的，自动解除合同，并扣除当月养护经费，另行选择其他养护单位，同时向上级主管部门汇报，取消该养护单位参加下年度该养护项目投标的资格。</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5.考核奖惩：</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1）各养护项目凡出现月度考核不合格情况，由管理处启动调查问责程序，确属管理处相关责任人未履职尽责到位的，则对责任人进行提醒谈话；同个责任人所负责的养护项目一年内累计出现3次月度考核不合格的情况，又均因责任人履职不到位产生，则对责任人作扣减奖励性绩效处罚。</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（2）养护项目年度考核优秀，则对管理处相关责任人和工管科进行通报表扬，并在个人年度考核和科室年度考核中作加分处理。</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3）管理处在当月日常巡查过程中发现同一堤段养护不到位或同一养护问题（无合理理由）2次及以上，扣减该段养护单位月度养护经费2000元，如发现两个堤段（以桥为界）及以上养护不合格，扣减该段养护单位月度养护经费2000元。</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（4）因养护单位主观原因造成的媒体曝光、12345投诉。养护单位接到我处通知后当天内完成整改，据情况给予养护单位罚款300-500元，一个月内罚款次数不超过3次。</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（5）因养护单位主观原因造成的，当日同一地点发现养护问题2次以上，给予养护单位罚款300-500元，当月内罚款次数不超过3次。</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（6）对因养护工作不到位被约谈的养护单位，给予1000元罚款，</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（7）年度由管理处组织优秀养护单位评比，综合养护单位年度、月度考核结果，评选出优秀养护单位及优秀个人，由管理处授予奖牌、奖状及奖金。</w:t>
      </w:r>
      <w:r/>
    </w:p>
    <w:p>
      <w:pPr>
        <w:ind w:firstLine="420"/>
        <w:jc w:val="left"/>
        <w:spacing w:line="380" w:lineRule="exact"/>
        <w:rPr>
          <w:rFonts w:ascii="宋体" w:hAnsi="宋体"/>
          <w:color w:val="auto"/>
          <w:szCs w:val="21"/>
          <w:highlight w:val="none"/>
        </w:rPr>
      </w:pPr>
      <w:r>
        <w:rPr>
          <w:rFonts w:hint="eastAsia" w:ascii="宋体" w:hAnsi="宋体"/>
          <w:color w:val="auto"/>
          <w:szCs w:val="21"/>
          <w:highlight w:val="none"/>
        </w:rPr>
        <w:t xml:space="preserve">6.考核通报：每月下旬召开养护考核会议，次月初向养护单位通报本月考核成绩，提出反馈意见。养护单位根据考核结果制定整改措施，在下月养护工作中逐一整改到位。群众调查、街道调查工作由处工管科负责实施，考核结果由工管科负责统计整理。</w:t>
      </w:r>
      <w:r/>
    </w:p>
    <w:p>
      <w:pPr>
        <w:ind w:firstLine="422"/>
        <w:jc w:val="left"/>
        <w:spacing w:line="380" w:lineRule="exact"/>
        <w:rPr>
          <w:rFonts w:ascii="宋体" w:hAnsi="宋体"/>
          <w:b/>
          <w:color w:val="auto"/>
          <w:szCs w:val="21"/>
          <w:highlight w:val="none"/>
        </w:rPr>
      </w:pPr>
      <w:r>
        <w:rPr>
          <w:rFonts w:hint="eastAsia" w:ascii="宋体" w:hAnsi="宋体"/>
          <w:b/>
          <w:color w:val="auto"/>
          <w:szCs w:val="21"/>
          <w:highlight w:val="none"/>
        </w:rPr>
        <w:t xml:space="preserve">六、支付办法</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1.养护经费以月为支付单元，每月支付一次。</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2.月度考核为优秀、合格，支付当月养护款项的100%。</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3.月度考核为基本合格，扣减当月养护款项3000元，限期整改验收合格后，次月经处主任办公会讨论同意后支付扣减费用；限期整改为基本合格或不合格，则不予支付扣减费用。</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4.月度养护考核不合格，扣减当月养护款项5000元，限期整改验收合格后，次月经处主任办公会讨论同意后支付扣减费用；限期整改不到位，则扣除当月全部养护款项。</w:t>
      </w:r>
      <w:r/>
    </w:p>
    <w:p>
      <w:pPr>
        <w:ind w:firstLine="422"/>
        <w:spacing w:line="440" w:lineRule="exact"/>
        <w:rPr>
          <w:rFonts w:ascii="宋体" w:hAnsi="宋体"/>
          <w:b/>
          <w:bCs/>
          <w:color w:val="auto"/>
          <w:szCs w:val="21"/>
          <w:highlight w:val="none"/>
        </w:rPr>
      </w:pPr>
      <w:r>
        <w:rPr>
          <w:rFonts w:hint="eastAsia" w:ascii="宋体" w:hAnsi="宋体"/>
          <w:b/>
          <w:bCs/>
          <w:color w:val="auto"/>
          <w:szCs w:val="21"/>
          <w:highlight w:val="none"/>
        </w:rPr>
        <w:t xml:space="preserve">七、其他要求</w:t>
      </w:r>
      <w:r/>
    </w:p>
    <w:p>
      <w:pPr>
        <w:pStyle w:val="891"/>
        <w:ind w:firstLine="422"/>
        <w:spacing w:line="360" w:lineRule="auto"/>
        <w:rPr>
          <w:b/>
          <w:color w:val="auto"/>
          <w:highlight w:val="none"/>
        </w:rPr>
      </w:pPr>
      <w:r>
        <w:rPr>
          <w:rFonts w:hint="eastAsia"/>
          <w:b/>
          <w:color w:val="auto"/>
          <w:highlight w:val="none"/>
        </w:rPr>
        <w:t xml:space="preserve">本项目实施过程中供应商应编制专业的技术服务方案，如针对项目的认识与理解、专业团队人员的方案、突发性、应急事件、安全措施、质量实施方案等，以确保编制的方案能有效完成项目实施。</w:t>
      </w:r>
      <w:r/>
    </w:p>
    <w:p>
      <w:pPr>
        <w:pStyle w:val="891"/>
        <w:ind w:firstLine="422"/>
        <w:spacing w:line="360" w:lineRule="auto"/>
        <w:rPr>
          <w:b/>
          <w:color w:val="auto"/>
          <w:highlight w:val="none"/>
        </w:rPr>
      </w:pPr>
      <w:r>
        <w:rPr>
          <w:rFonts w:hint="eastAsia"/>
          <w:b/>
          <w:color w:val="auto"/>
          <w:highlight w:val="none"/>
        </w:rPr>
        <w:t xml:space="preserve">★八、项目实施过程中不得出现任何安全事故，供应商需为作业人员、服务人员缴纳相关保险，人员上岗前应做好岗前培训工作，不得拖欠任何工作人员薪资等问题，一旦出现，均由供应商负责。（提供承诺书原件）</w:t>
      </w:r>
      <w:r/>
    </w:p>
    <w:p>
      <w:pPr>
        <w:ind w:firstLine="420"/>
        <w:jc w:val="left"/>
        <w:spacing w:after="120"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本项目加“★”为实质性条款要求，不允许偏离，偏离为无效投标，其他内容不允许负偏离。合同签订前供应商应将相关备案材料、证明原件至采购人处核验，如发现有弄虚作假，采购人有权取消其中标资格。</w:t>
      </w:r>
      <w:r/>
    </w:p>
    <w:p>
      <w:pPr>
        <w:ind w:firstLine="420"/>
        <w:jc w:val="left"/>
        <w:spacing w:after="120"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color w:val="auto"/>
          <w:sz w:val="40"/>
          <w:szCs w:val="40"/>
          <w:highlight w:val="none"/>
        </w:rPr>
      </w:pPr>
      <w:r>
        <w:rPr>
          <w:rFonts w:ascii="宋体" w:hAnsi="宋体" w:cs="宋体"/>
          <w:color w:val="auto"/>
          <w:sz w:val="18"/>
          <w:szCs w:val="18"/>
          <w:highlight w:val="none"/>
        </w:rPr>
        <w:br w:type="page" w:clear="all"/>
      </w:r>
      <w:bookmarkEnd w:id="34"/>
      <w:r/>
      <w:bookmarkEnd w:id="35"/>
      <w:r/>
      <w:bookmarkEnd w:id="36"/>
      <w:r/>
      <w:bookmarkEnd w:id="37"/>
      <w:r/>
      <w:r/>
    </w:p>
    <w:p>
      <w:pPr>
        <w:pStyle w:val="875"/>
        <w:keepLines w:val="0"/>
        <w:keepNext w:val="0"/>
        <w:pageBreakBefore/>
        <w:spacing w:before="0" w:after="0" w:line="360" w:lineRule="auto"/>
        <w:rPr>
          <w:rStyle w:val="938"/>
          <w:rFonts w:ascii="黑体" w:hAnsi="黑体" w:eastAsia="黑体" w:cs="黑体"/>
          <w:b w:val="0"/>
          <w:bCs w:val="0"/>
          <w:color w:val="auto"/>
          <w:sz w:val="32"/>
          <w:szCs w:val="32"/>
          <w:highlight w:val="none"/>
          <w:lang w:val="zh-CN"/>
        </w:rPr>
      </w:pPr>
      <w:r/>
      <w:bookmarkStart w:id="44" w:name="_Toc16911"/>
      <w:r>
        <w:rPr>
          <w:rStyle w:val="938"/>
          <w:rFonts w:hint="eastAsia" w:ascii="黑体" w:hAnsi="黑体" w:eastAsia="黑体" w:cs="黑体"/>
          <w:b w:val="0"/>
          <w:bCs w:val="0"/>
          <w:color w:val="auto"/>
          <w:sz w:val="32"/>
          <w:szCs w:val="32"/>
          <w:highlight w:val="none"/>
          <w:lang w:val="zh-CN"/>
        </w:rPr>
        <w:t xml:space="preserve">第五章 合同主要条款及格式</w:t>
      </w:r>
      <w:bookmarkEnd w:id="44"/>
      <w:r/>
      <w:r/>
    </w:p>
    <w:p>
      <w:pPr>
        <w:jc w:val="center"/>
        <w:spacing w:before="120" w:after="120" w:line="360" w:lineRule="auto"/>
        <w:rPr>
          <w:rFonts w:ascii="宋体" w:hAnsi="宋体"/>
          <w:b/>
          <w:bCs/>
          <w:color w:val="auto"/>
          <w:sz w:val="30"/>
          <w:szCs w:val="20"/>
          <w:highlight w:val="none"/>
        </w:rPr>
        <w:outlineLvl w:val="0"/>
      </w:pPr>
      <w:r/>
      <w:bookmarkStart w:id="45" w:name="_Toc176967533"/>
      <w:r>
        <w:rPr>
          <w:rFonts w:hint="eastAsia" w:ascii="宋体" w:hAnsi="宋体"/>
          <w:b/>
          <w:color w:val="auto"/>
          <w:sz w:val="30"/>
          <w:highlight w:val="none"/>
        </w:rPr>
        <w:t xml:space="preserve">江苏省政府采购合同（服务）（合同编号）</w:t>
      </w:r>
      <w:bookmarkEnd w:id="45"/>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政府采购计划号：                         </w:t>
      </w:r>
      <w:r>
        <w:rPr>
          <w:rFonts w:ascii="宋体" w:hAnsi="宋体" w:cs="宋体"/>
          <w:b/>
          <w:color w:val="auto"/>
          <w:szCs w:val="21"/>
          <w:highlight w:val="none"/>
        </w:rPr>
        <w:t xml:space="preserve">合同编号：</w:t>
      </w:r>
      <w:r/>
    </w:p>
    <w:p>
      <w:pPr>
        <w:spacing w:line="360" w:lineRule="auto"/>
        <w:rPr>
          <w:rFonts w:ascii="宋体" w:hAnsi="宋体" w:cs="宋体"/>
          <w:b/>
          <w:color w:val="auto"/>
          <w:szCs w:val="21"/>
          <w:highlight w:val="none"/>
        </w:rPr>
      </w:pPr>
      <w:r>
        <w:rPr>
          <w:rFonts w:ascii="宋体" w:hAnsi="宋体" w:cs="宋体"/>
          <w:b/>
          <w:color w:val="auto"/>
          <w:szCs w:val="21"/>
          <w:highlight w:val="none"/>
        </w:rPr>
        <w:t xml:space="preserve">甲方：南京市秦淮河河道管理处</w:t>
      </w:r>
      <w:r/>
    </w:p>
    <w:p>
      <w:pPr>
        <w:spacing w:line="360" w:lineRule="auto"/>
        <w:rPr>
          <w:rFonts w:eastAsia="Calibri" w:cs="Calibri"/>
          <w:b/>
          <w:color w:val="auto"/>
          <w:szCs w:val="21"/>
          <w:highlight w:val="none"/>
        </w:rPr>
      </w:pPr>
      <w:r>
        <w:rPr>
          <w:rFonts w:ascii="宋体" w:hAnsi="宋体" w:cs="宋体"/>
          <w:b/>
          <w:color w:val="auto"/>
          <w:szCs w:val="21"/>
          <w:highlight w:val="none"/>
        </w:rPr>
        <w:t xml:space="preserve">乙方：</w:t>
      </w:r>
      <w:r/>
    </w:p>
    <w:p>
      <w:pPr>
        <w:ind w:firstLine="560"/>
        <w:spacing w:line="360" w:lineRule="auto"/>
        <w:rPr>
          <w:rFonts w:eastAsia="Calibri" w:cs="Calibri"/>
          <w:color w:val="auto"/>
          <w:szCs w:val="21"/>
          <w:highlight w:val="none"/>
        </w:rPr>
      </w:pPr>
      <w:r>
        <w:rPr>
          <w:rFonts w:ascii="宋体" w:hAnsi="宋体" w:cs="宋体"/>
          <w:color w:val="auto"/>
          <w:szCs w:val="21"/>
          <w:highlight w:val="none"/>
        </w:rPr>
        <w:t xml:space="preserve">根据《中华人民共和国政府采购法》、《中华人民共和国</w:t>
      </w:r>
      <w:r>
        <w:rPr>
          <w:rFonts w:hint="eastAsia" w:ascii="宋体" w:hAnsi="宋体" w:cs="宋体"/>
          <w:color w:val="auto"/>
          <w:szCs w:val="21"/>
          <w:highlight w:val="none"/>
        </w:rPr>
        <w:t xml:space="preserve">民法典</w:t>
      </w:r>
      <w:r>
        <w:rPr>
          <w:rFonts w:ascii="宋体" w:hAnsi="宋体" w:cs="宋体"/>
          <w:color w:val="auto"/>
          <w:szCs w:val="21"/>
          <w:highlight w:val="none"/>
        </w:rPr>
        <w:t xml:space="preserve">》等法律法规规定，按照“</w:t>
      </w:r>
      <w:r>
        <w:rPr>
          <w:rFonts w:hint="eastAsia" w:cs="Calibri"/>
          <w:color w:val="auto"/>
          <w:szCs w:val="21"/>
          <w:highlight w:val="none"/>
          <w:u w:val="single"/>
        </w:rPr>
        <w:t xml:space="preserve">             </w:t>
      </w:r>
      <w:r>
        <w:rPr>
          <w:rFonts w:hint="eastAsia" w:cs="Calibri"/>
          <w:color w:val="auto"/>
          <w:szCs w:val="21"/>
          <w:highlight w:val="none"/>
        </w:rPr>
        <w:t xml:space="preserve">项目</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包一/</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包二/</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包三/</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包四</w:t>
      </w:r>
      <w:r>
        <w:rPr>
          <w:rFonts w:ascii="宋体" w:hAnsi="宋体" w:cs="宋体"/>
          <w:color w:val="auto"/>
          <w:szCs w:val="21"/>
          <w:highlight w:val="none"/>
        </w:rPr>
        <w:t xml:space="preserve">”的招标结果（项目编号：</w:t>
      </w:r>
      <w:r>
        <w:rPr>
          <w:rFonts w:hint="eastAsia" w:ascii="宋体" w:hAnsi="宋体" w:cs="宋体"/>
          <w:color w:val="auto"/>
          <w:szCs w:val="21"/>
          <w:highlight w:val="none"/>
        </w:rPr>
        <w:t xml:space="preserve">         </w:t>
      </w:r>
      <w:r>
        <w:rPr>
          <w:rFonts w:ascii="宋体" w:hAnsi="宋体" w:cs="宋体"/>
          <w:color w:val="auto"/>
          <w:szCs w:val="21"/>
          <w:highlight w:val="none"/>
        </w:rPr>
        <w:t xml:space="preserve">），依据招标文件要求，甲乙双方遵循平等、自愿、公平的原则，就该项目的组织实施，经协商签订如下合同条款。双方遵照执行。</w:t>
      </w:r>
      <w:r/>
    </w:p>
    <w:p>
      <w:pPr>
        <w:ind w:firstLine="562"/>
        <w:spacing w:line="360" w:lineRule="auto"/>
        <w:rPr>
          <w:rFonts w:eastAsia="Calibri" w:cs="Calibri"/>
          <w:b/>
          <w:color w:val="auto"/>
          <w:szCs w:val="21"/>
          <w:highlight w:val="none"/>
        </w:rPr>
      </w:pPr>
      <w:r>
        <w:rPr>
          <w:rFonts w:ascii="宋体" w:hAnsi="宋体" w:cs="宋体"/>
          <w:b/>
          <w:color w:val="auto"/>
          <w:szCs w:val="21"/>
          <w:highlight w:val="none"/>
        </w:rPr>
        <w:t xml:space="preserve">一、项目名称：</w:t>
      </w:r>
      <w:r/>
    </w:p>
    <w:p>
      <w:pPr>
        <w:ind w:firstLine="560"/>
        <w:spacing w:line="360" w:lineRule="auto"/>
        <w:rPr>
          <w:rFonts w:ascii="宋体" w:hAnsi="宋体" w:cs="宋体"/>
          <w:color w:val="auto"/>
          <w:szCs w:val="21"/>
          <w:highlight w:val="none"/>
        </w:rPr>
      </w:pPr>
      <w:r>
        <w:rPr>
          <w:rFonts w:hint="eastAsia" w:cs="Calibri"/>
          <w:color w:val="auto"/>
          <w:szCs w:val="21"/>
          <w:highlight w:val="none"/>
          <w:u w:val="single"/>
        </w:rPr>
        <w:t xml:space="preserve">                       </w:t>
      </w:r>
      <w:r>
        <w:rPr>
          <w:rFonts w:hint="eastAsia" w:cs="Calibri"/>
          <w:color w:val="auto"/>
          <w:szCs w:val="21"/>
          <w:highlight w:val="none"/>
        </w:rPr>
        <w:t xml:space="preserve">项目</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包一/</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包二/</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包三/</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包四</w:t>
      </w:r>
      <w:r>
        <w:rPr>
          <w:rFonts w:ascii="宋体" w:hAnsi="宋体" w:cs="宋体"/>
          <w:color w:val="auto"/>
          <w:szCs w:val="21"/>
          <w:highlight w:val="none"/>
        </w:rPr>
        <w:t xml:space="preserve">（项目编号：</w:t>
      </w:r>
      <w:r>
        <w:rPr>
          <w:rFonts w:hint="eastAsia" w:ascii="宋体" w:hAnsi="宋体" w:cs="宋体"/>
          <w:color w:val="auto"/>
          <w:szCs w:val="21"/>
          <w:highlight w:val="none"/>
        </w:rPr>
        <w:t xml:space="preserve">         </w:t>
      </w:r>
      <w:r>
        <w:rPr>
          <w:rFonts w:ascii="宋体" w:hAnsi="宋体" w:cs="宋体"/>
          <w:color w:val="auto"/>
          <w:szCs w:val="21"/>
          <w:highlight w:val="none"/>
        </w:rPr>
        <w:t xml:space="preserve">）</w:t>
      </w:r>
      <w:r/>
    </w:p>
    <w:p>
      <w:pPr>
        <w:ind w:firstLine="562"/>
        <w:spacing w:line="360" w:lineRule="auto"/>
        <w:rPr>
          <w:rFonts w:eastAsia="Calibri" w:cs="Calibri"/>
          <w:b/>
          <w:color w:val="auto"/>
          <w:szCs w:val="21"/>
          <w:highlight w:val="none"/>
        </w:rPr>
      </w:pPr>
      <w:r>
        <w:rPr>
          <w:rFonts w:ascii="宋体" w:hAnsi="宋体" w:cs="宋体"/>
          <w:b/>
          <w:color w:val="auto"/>
          <w:szCs w:val="21"/>
          <w:highlight w:val="none"/>
        </w:rPr>
        <w:t xml:space="preserve">二、合同期限及金额：</w:t>
      </w:r>
      <w:r/>
    </w:p>
    <w:p>
      <w:pPr>
        <w:ind w:firstLine="561"/>
        <w:spacing w:line="360" w:lineRule="auto"/>
        <w:rPr>
          <w:rFonts w:cs="Calibri"/>
          <w:color w:val="auto"/>
          <w:szCs w:val="21"/>
          <w:highlight w:val="none"/>
        </w:rPr>
      </w:pPr>
      <w:r>
        <w:rPr>
          <w:rFonts w:hint="eastAsia" w:eastAsia="Calibri" w:cs="Calibri"/>
          <w:color w:val="auto"/>
          <w:szCs w:val="21"/>
          <w:highlight w:val="none"/>
        </w:rPr>
        <w:t xml:space="preserve">1、合同期：</w:t>
      </w:r>
      <w:r>
        <w:rPr>
          <w:rFonts w:hint="eastAsia" w:cs="Calibri"/>
          <w:color w:val="auto"/>
          <w:szCs w:val="21"/>
          <w:highlight w:val="none"/>
        </w:rPr>
        <w:t xml:space="preserve"> 12</w:t>
      </w:r>
      <w:r>
        <w:rPr>
          <w:rFonts w:hint="eastAsia" w:eastAsia="Calibri" w:cs="Calibri"/>
          <w:color w:val="auto"/>
          <w:szCs w:val="21"/>
          <w:highlight w:val="none"/>
        </w:rPr>
        <w:t xml:space="preserve">个月。</w:t>
      </w:r>
      <w:r/>
    </w:p>
    <w:p>
      <w:pPr>
        <w:ind w:firstLine="561"/>
        <w:spacing w:line="360" w:lineRule="auto"/>
        <w:rPr>
          <w:rFonts w:eastAsia="Calibri" w:cs="Calibri"/>
          <w:color w:val="auto"/>
          <w:szCs w:val="21"/>
          <w:highlight w:val="none"/>
        </w:rPr>
      </w:pPr>
      <w:r>
        <w:rPr>
          <w:rFonts w:hint="eastAsia" w:eastAsia="Calibri" w:cs="Calibri"/>
          <w:color w:val="auto"/>
          <w:szCs w:val="21"/>
          <w:highlight w:val="none"/>
        </w:rPr>
        <w:t xml:space="preserve">2、养护标准：一类堤防养护标准。</w:t>
      </w:r>
      <w:r/>
    </w:p>
    <w:p>
      <w:pPr>
        <w:ind w:firstLine="561"/>
        <w:spacing w:line="360" w:lineRule="auto"/>
        <w:rPr>
          <w:rFonts w:eastAsia="Calibri" w:cs="Calibri"/>
          <w:color w:val="auto"/>
          <w:szCs w:val="21"/>
          <w:highlight w:val="none"/>
        </w:rPr>
      </w:pPr>
      <w:r>
        <w:rPr>
          <w:rFonts w:hint="eastAsia" w:eastAsia="Calibri" w:cs="Calibri"/>
          <w:color w:val="auto"/>
          <w:szCs w:val="21"/>
          <w:highlight w:val="none"/>
        </w:rPr>
        <w:t xml:space="preserve">3、合同价：合同总价款为         元整（  </w:t>
      </w:r>
      <w:r>
        <w:rPr>
          <w:rFonts w:hint="eastAsia" w:cs="Calibri"/>
          <w:color w:val="auto"/>
          <w:szCs w:val="21"/>
          <w:highlight w:val="none"/>
        </w:rPr>
        <w:t xml:space="preserve">    大写金额  </w:t>
      </w:r>
      <w:r>
        <w:rPr>
          <w:rFonts w:hint="eastAsia" w:eastAsia="Calibri" w:cs="Calibri"/>
          <w:color w:val="auto"/>
          <w:szCs w:val="21"/>
          <w:highlight w:val="none"/>
        </w:rPr>
        <w:t xml:space="preserve"> 元）。</w:t>
      </w:r>
      <w:r/>
    </w:p>
    <w:p>
      <w:pPr>
        <w:ind w:firstLine="562"/>
        <w:spacing w:line="360" w:lineRule="auto"/>
        <w:rPr>
          <w:rFonts w:eastAsia="Calibri" w:cs="Calibri"/>
          <w:b/>
          <w:color w:val="auto"/>
          <w:szCs w:val="21"/>
          <w:highlight w:val="none"/>
        </w:rPr>
      </w:pPr>
      <w:r>
        <w:rPr>
          <w:rFonts w:ascii="宋体" w:hAnsi="宋体" w:cs="宋体"/>
          <w:b/>
          <w:color w:val="auto"/>
          <w:szCs w:val="21"/>
          <w:highlight w:val="none"/>
        </w:rPr>
        <w:t xml:space="preserve">三、组成合同的有关文件</w:t>
      </w:r>
      <w:r/>
    </w:p>
    <w:p>
      <w:pPr>
        <w:ind w:firstLine="561"/>
        <w:spacing w:line="360" w:lineRule="auto"/>
        <w:rPr>
          <w:rFonts w:eastAsia="Calibri" w:cs="Calibri"/>
          <w:color w:val="auto"/>
          <w:szCs w:val="21"/>
          <w:highlight w:val="none"/>
        </w:rPr>
      </w:pPr>
      <w:r>
        <w:rPr>
          <w:rFonts w:eastAsia="Calibri" w:cs="Calibri"/>
          <w:color w:val="auto"/>
          <w:szCs w:val="21"/>
          <w:highlight w:val="none"/>
        </w:rPr>
        <w:t xml:space="preserve">1</w:t>
      </w:r>
      <w:r>
        <w:rPr>
          <w:rFonts w:ascii="宋体" w:hAnsi="宋体" w:cs="宋体"/>
          <w:color w:val="auto"/>
          <w:szCs w:val="21"/>
          <w:highlight w:val="none"/>
        </w:rPr>
        <w:t xml:space="preserve">、中标通知书</w:t>
      </w:r>
      <w:r/>
    </w:p>
    <w:p>
      <w:pPr>
        <w:ind w:firstLine="561"/>
        <w:spacing w:line="360" w:lineRule="auto"/>
        <w:rPr>
          <w:rFonts w:eastAsia="Calibri" w:cs="Calibri"/>
          <w:color w:val="auto"/>
          <w:szCs w:val="21"/>
          <w:highlight w:val="none"/>
        </w:rPr>
      </w:pPr>
      <w:r>
        <w:rPr>
          <w:rFonts w:eastAsia="Calibri" w:cs="Calibri"/>
          <w:color w:val="auto"/>
          <w:szCs w:val="21"/>
          <w:highlight w:val="none"/>
        </w:rPr>
        <w:t xml:space="preserve">2</w:t>
      </w:r>
      <w:r>
        <w:rPr>
          <w:rFonts w:ascii="宋体" w:hAnsi="宋体" w:cs="宋体"/>
          <w:color w:val="auto"/>
          <w:szCs w:val="21"/>
          <w:highlight w:val="none"/>
        </w:rPr>
        <w:t xml:space="preserve">、投标文件</w:t>
      </w:r>
      <w:r/>
    </w:p>
    <w:p>
      <w:pPr>
        <w:ind w:firstLine="561"/>
        <w:spacing w:line="360" w:lineRule="auto"/>
        <w:rPr>
          <w:rFonts w:eastAsia="Calibri" w:cs="Calibri"/>
          <w:color w:val="auto"/>
          <w:szCs w:val="21"/>
          <w:highlight w:val="none"/>
        </w:rPr>
      </w:pPr>
      <w:r>
        <w:rPr>
          <w:rFonts w:eastAsia="Calibri" w:cs="Calibri"/>
          <w:color w:val="auto"/>
          <w:szCs w:val="21"/>
          <w:highlight w:val="none"/>
        </w:rPr>
        <w:t xml:space="preserve">3</w:t>
      </w:r>
      <w:r>
        <w:rPr>
          <w:rFonts w:ascii="宋体" w:hAnsi="宋体" w:cs="宋体"/>
          <w:color w:val="auto"/>
          <w:szCs w:val="21"/>
          <w:highlight w:val="none"/>
        </w:rPr>
        <w:t xml:space="preserve">、招标文件</w:t>
      </w:r>
      <w:r/>
    </w:p>
    <w:p>
      <w:pPr>
        <w:ind w:firstLine="561"/>
        <w:spacing w:line="360" w:lineRule="auto"/>
        <w:rPr>
          <w:rFonts w:ascii="宋体" w:hAnsi="宋体" w:cs="宋体"/>
          <w:color w:val="auto"/>
          <w:szCs w:val="21"/>
          <w:highlight w:val="none"/>
        </w:rPr>
      </w:pPr>
      <w:r>
        <w:rPr>
          <w:rFonts w:eastAsia="Calibri" w:cs="Calibri"/>
          <w:color w:val="auto"/>
          <w:szCs w:val="21"/>
          <w:highlight w:val="none"/>
        </w:rPr>
        <w:t xml:space="preserve">4</w:t>
      </w:r>
      <w:r>
        <w:rPr>
          <w:rFonts w:ascii="宋体" w:hAnsi="宋体" w:cs="宋体"/>
          <w:color w:val="auto"/>
          <w:szCs w:val="21"/>
          <w:highlight w:val="none"/>
        </w:rPr>
        <w:t xml:space="preserve">、组成合同的其他文件</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四、巡查及养护范围</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1、养护起讫点：</w:t>
      </w:r>
      <w:r/>
    </w:p>
    <w:p>
      <w:pPr>
        <w:ind w:left="210" w:firstLine="210"/>
        <w:jc w:val="left"/>
        <w:spacing w:line="360" w:lineRule="auto"/>
        <w:rPr>
          <w:color w:val="auto"/>
          <w:szCs w:val="21"/>
          <w:highlight w:val="none"/>
        </w:rPr>
      </w:pPr>
      <w:r>
        <w:rPr>
          <w:rFonts w:hint="eastAsia" w:ascii="宋体" w:hAnsi="宋体"/>
          <w:color w:val="auto"/>
          <w:szCs w:val="21"/>
          <w:highlight w:val="none"/>
        </w:rPr>
        <w:t xml:space="preserve">□包一：</w:t>
      </w:r>
      <w:r>
        <w:rPr>
          <w:rFonts w:hint="eastAsia" w:ascii="宋体" w:hAnsi="宋体" w:cs="宋体"/>
          <w:color w:val="auto"/>
          <w:szCs w:val="21"/>
          <w:highlight w:val="none"/>
        </w:rPr>
        <w:t xml:space="preserve">秦淮河东山大桥（0+000）至运粮河口（8+250）及秦淮新河新老河口（0+000）至河定桥（0+350），总计17.2公里堤防巡查、养护等</w:t>
      </w:r>
      <w:r>
        <w:rPr>
          <w:rFonts w:hint="eastAsia"/>
          <w:color w:val="auto"/>
          <w:szCs w:val="21"/>
          <w:highlight w:val="none"/>
        </w:rPr>
        <w:t xml:space="preserve">；</w:t>
      </w:r>
      <w:r/>
    </w:p>
    <w:p>
      <w:pPr>
        <w:ind w:firstLine="420"/>
        <w:jc w:val="left"/>
        <w:spacing w:line="360" w:lineRule="auto"/>
        <w:rPr>
          <w:color w:val="auto"/>
          <w:szCs w:val="21"/>
          <w:highlight w:val="none"/>
        </w:rPr>
      </w:pPr>
      <w:r>
        <w:rPr>
          <w:rFonts w:hint="eastAsia" w:ascii="宋体" w:hAnsi="宋体"/>
          <w:color w:val="auto"/>
          <w:szCs w:val="21"/>
          <w:highlight w:val="none"/>
        </w:rPr>
        <w:t xml:space="preserve">□包二：</w:t>
      </w:r>
      <w:r>
        <w:rPr>
          <w:rFonts w:hint="eastAsia"/>
          <w:color w:val="auto"/>
          <w:szCs w:val="21"/>
          <w:highlight w:val="none"/>
        </w:rPr>
        <w:t xml:space="preserve">秦淮新河河定桥（0+350）至红庙桥（8+850），总计17公里堤防巡查、养护等； </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□包三：秦淮新河红庙桥（8+850）至秦淮新河节制闸（15+130），总计12.56公里（含梅山段）堤防巡查、养护等。</w:t>
      </w:r>
      <w:r/>
    </w:p>
    <w:p>
      <w:pPr>
        <w:ind w:left="210"/>
        <w:jc w:val="left"/>
        <w:spacing w:line="360" w:lineRule="auto"/>
        <w:rPr>
          <w:color w:val="auto"/>
          <w:szCs w:val="21"/>
          <w:highlight w:val="none"/>
        </w:rPr>
      </w:pPr>
      <w:r>
        <w:rPr>
          <w:rFonts w:hint="eastAsia" w:ascii="宋体" w:hAnsi="宋体"/>
          <w:color w:val="auto"/>
          <w:szCs w:val="21"/>
          <w:highlight w:val="none"/>
        </w:rPr>
        <w:t xml:space="preserve">□</w:t>
      </w:r>
      <w:r>
        <w:rPr>
          <w:rFonts w:hint="eastAsia"/>
          <w:color w:val="auto"/>
          <w:szCs w:val="21"/>
          <w:highlight w:val="none"/>
        </w:rPr>
        <w:t xml:space="preserve">包四：秦淮新河新老河口（0+000）至秦淮新河节制闸（15+050）和秦淮河东山桥（0+000）至运粮河口（8+250）总计约30.4公里堤防防护林养护（不含七桥瓮湿地公园约2公里、东山桥至宏运大道桥右岸1.3公里、秦淮新河河定桥至将军路桥左右岸约6公里、铁心桥至三江学院左右岸约2.5公里、西善桥至新河闸左右岸约3公里）及秦淮河河道管理处院内（不含办公区）约120亩林木抚育、养护、巡查等工作。</w:t>
      </w:r>
      <w:r/>
    </w:p>
    <w:p>
      <w:pPr>
        <w:ind w:firstLine="420"/>
        <w:jc w:val="left"/>
        <w:spacing w:line="360" w:lineRule="auto"/>
        <w:rPr>
          <w:color w:val="auto"/>
          <w:szCs w:val="21"/>
          <w:highlight w:val="none"/>
        </w:rPr>
      </w:pPr>
      <w:r>
        <w:rPr>
          <w:rFonts w:hint="eastAsia" w:ascii="宋体" w:hAnsi="宋体"/>
          <w:color w:val="auto"/>
          <w:szCs w:val="21"/>
          <w:highlight w:val="none"/>
        </w:rPr>
        <w:t xml:space="preserve">2、河道堤防养护范围</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河道堤防养护范围为河道管理范围</w:t>
      </w:r>
      <w:r>
        <w:rPr>
          <w:rFonts w:hint="eastAsia" w:ascii="仿宋" w:hAnsi="仿宋" w:eastAsia="仿宋"/>
          <w:bCs/>
          <w:color w:val="auto"/>
          <w:szCs w:val="21"/>
          <w:highlight w:val="none"/>
        </w:rPr>
        <w:t xml:space="preserve">（含临水岸水位变幅区）</w:t>
      </w:r>
      <w:r>
        <w:rPr>
          <w:rFonts w:hint="eastAsia" w:ascii="宋体" w:hAnsi="宋体"/>
          <w:color w:val="auto"/>
          <w:szCs w:val="21"/>
          <w:highlight w:val="none"/>
        </w:rPr>
        <w:t xml:space="preserve">，巡查含河道保护范围。</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秦淮河、秦淮新河管理范围：执行宁水办运管【2019】206号文中规定的范围。</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保护范围为管理范围外40米。</w:t>
      </w:r>
      <w:r/>
    </w:p>
    <w:p>
      <w:pPr>
        <w:ind w:left="210"/>
        <w:jc w:val="left"/>
        <w:spacing w:line="360" w:lineRule="auto"/>
        <w:rPr>
          <w:rFonts w:ascii="宋体" w:hAnsi="宋体"/>
          <w:bCs/>
          <w:color w:val="auto"/>
          <w:szCs w:val="21"/>
          <w:highlight w:val="none"/>
        </w:rPr>
      </w:pPr>
      <w:r>
        <w:rPr>
          <w:rFonts w:hint="eastAsia" w:ascii="宋体" w:hAnsi="宋体"/>
          <w:b/>
          <w:color w:val="auto"/>
          <w:szCs w:val="21"/>
          <w:highlight w:val="none"/>
        </w:rPr>
        <w:t xml:space="preserve">3、防护林养护范围</w:t>
      </w:r>
      <w:r>
        <w:rPr>
          <w:rFonts w:hint="eastAsia" w:ascii="宋体" w:hAnsi="宋体"/>
          <w:color w:val="auto"/>
          <w:szCs w:val="21"/>
          <w:highlight w:val="none"/>
        </w:rPr>
        <w:t xml:space="preserve">：</w:t>
      </w:r>
      <w:r>
        <w:rPr>
          <w:rFonts w:hint="eastAsia"/>
          <w:color w:val="auto"/>
          <w:szCs w:val="21"/>
          <w:highlight w:val="none"/>
        </w:rPr>
        <w:t xml:space="preserve">秦淮新河新老河口（0+000）至秦淮新河节制闸（15+050）和秦淮河东山桥（0+000）至运粮河口（8+250）总计约30.4公里堤防防护林养护（不含七桥瓮湿地公园约2公里、东山桥至宏运大道桥右岸1.3公里、秦淮新河河定桥至将军路桥左右岸约6公里、铁心桥至三江学院左右岸约2.5公里、西善桥至新河闸左右岸约3公里）及秦淮河河道管理处院内（不含办公区）约120亩林木抚育、养护、巡查等工作。</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五、养护人员、养护设备、养护工程量清单：</w:t>
      </w:r>
      <w:r/>
    </w:p>
    <w:p>
      <w:pPr>
        <w:pStyle w:val="878"/>
        <w:rPr>
          <w:color w:val="auto"/>
          <w:sz w:val="21"/>
          <w:szCs w:val="21"/>
          <w:highlight w:val="none"/>
        </w:rPr>
      </w:pPr>
      <w:r>
        <w:rPr>
          <w:rFonts w:hint="eastAsia"/>
          <w:color w:val="auto"/>
          <w:sz w:val="21"/>
          <w:szCs w:val="21"/>
          <w:highlight w:val="none"/>
        </w:rPr>
        <w:t xml:space="preserve">□包一</w:t>
      </w:r>
      <w:r/>
    </w:p>
    <w:p>
      <w:pPr>
        <w:jc w:val="center"/>
        <w:spacing w:line="360" w:lineRule="auto"/>
        <w:rPr>
          <w:rFonts w:ascii="仿宋" w:hAnsi="仿宋" w:eastAsia="仿宋"/>
          <w:b/>
          <w:bCs/>
          <w:color w:val="auto"/>
          <w:szCs w:val="21"/>
          <w:highlight w:val="none"/>
        </w:rPr>
      </w:pPr>
      <w:r>
        <w:rPr>
          <w:rFonts w:hint="eastAsia" w:ascii="仿宋" w:hAnsi="仿宋" w:eastAsia="仿宋"/>
          <w:b/>
          <w:bCs/>
          <w:color w:val="auto"/>
          <w:szCs w:val="21"/>
          <w:highlight w:val="none"/>
        </w:rPr>
        <w:t xml:space="preserve">表一：人员要求表</w:t>
      </w:r>
      <w:r/>
    </w:p>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（要求供应商投入人员不低于下表要求）</w:t>
      </w:r>
      <w:r/>
    </w:p>
    <w:tbl>
      <w:tblPr>
        <w:tblStyle w:val="885"/>
        <w:tblW w:w="51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2770"/>
        <w:gridCol w:w="1812"/>
        <w:gridCol w:w="1818"/>
        <w:gridCol w:w="1816"/>
        <w:gridCol w:w="1207"/>
      </w:tblGrid>
      <w:tr>
        <w:trPr>
          <w:jc w:val="center"/>
          <w:trHeight w:val="436" w:hRule="exact"/>
        </w:trPr>
        <w:tc>
          <w:tcPr>
            <w:tcW w:w="387"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序号</w:t>
            </w:r>
            <w:r/>
          </w:p>
        </w:tc>
        <w:tc>
          <w:tcPr>
            <w:tcW w:w="1356"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名 称</w:t>
            </w:r>
            <w:r/>
          </w:p>
        </w:tc>
        <w:tc>
          <w:tcPr>
            <w:tcW w:w="887"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单位</w:t>
            </w:r>
            <w:r/>
          </w:p>
        </w:tc>
        <w:tc>
          <w:tcPr>
            <w:tcW w:w="890"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要求数量</w:t>
            </w:r>
            <w:r/>
          </w:p>
        </w:tc>
        <w:tc>
          <w:tcPr>
            <w:tcW w:w="889" w:type="pct"/>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投标响应数量</w:t>
            </w:r>
            <w:r/>
          </w:p>
        </w:tc>
        <w:tc>
          <w:tcPr>
            <w:tcW w:w="591" w:type="pct"/>
            <w:vAlign w:val="center"/>
            <w:textDirection w:val="lrTb"/>
            <w:noWrap w:val="false"/>
          </w:tcPr>
          <w:p>
            <w:pPr>
              <w:jc w:val="center"/>
              <w:rPr>
                <w:rFonts w:ascii="仿宋" w:hAnsi="仿宋" w:eastAsia="仿宋"/>
                <w:b/>
                <w:bCs/>
                <w:color w:val="auto"/>
                <w:szCs w:val="21"/>
                <w:highlight w:val="none"/>
              </w:rPr>
            </w:pPr>
            <w:r>
              <w:rPr>
                <w:rFonts w:ascii="仿宋" w:hAnsi="仿宋" w:eastAsia="仿宋"/>
                <w:b/>
                <w:bCs/>
                <w:color w:val="auto"/>
                <w:szCs w:val="21"/>
                <w:highlight w:val="none"/>
              </w:rPr>
              <w:t xml:space="preserve">备注</w:t>
            </w:r>
            <w:r/>
          </w:p>
        </w:tc>
      </w:tr>
      <w:tr>
        <w:trPr>
          <w:jc w:val="center"/>
          <w:trHeight w:val="312"/>
        </w:trPr>
        <w:tc>
          <w:tcPr>
            <w:tcW w:w="3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1356"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管理人员（含项目负责人）</w:t>
            </w:r>
            <w:r/>
          </w:p>
        </w:tc>
        <w:tc>
          <w:tcPr>
            <w:tcW w:w="8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人</w:t>
            </w:r>
            <w:r/>
          </w:p>
        </w:tc>
        <w:tc>
          <w:tcPr>
            <w:tcW w:w="89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89" w:type="pct"/>
            <w:textDirection w:val="lrTb"/>
            <w:noWrap w:val="false"/>
          </w:tcPr>
          <w:p>
            <w:pPr>
              <w:jc w:val="center"/>
              <w:rPr>
                <w:rFonts w:ascii="仿宋" w:hAnsi="仿宋" w:eastAsia="仿宋"/>
                <w:color w:val="auto"/>
                <w:szCs w:val="21"/>
                <w:highlight w:val="none"/>
              </w:rPr>
            </w:pPr>
            <w:r>
              <w:rPr>
                <w:rFonts w:ascii="仿宋" w:hAnsi="仿宋" w:eastAsia="仿宋"/>
                <w:color w:val="auto"/>
                <w:szCs w:val="21"/>
                <w:highlight w:val="none"/>
              </w:rPr>
            </w:r>
            <w:r/>
          </w:p>
        </w:tc>
        <w:tc>
          <w:tcPr>
            <w:tcW w:w="591" w:type="pct"/>
            <w:vAlign w:val="center"/>
            <w:vMerge w:val="restart"/>
            <w:textDirection w:val="lrTb"/>
            <w:noWrap w:val="false"/>
          </w:tcPr>
          <w:p>
            <w:pPr>
              <w:jc w:val="center"/>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1356"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养护人员</w:t>
            </w:r>
            <w:r/>
          </w:p>
        </w:tc>
        <w:tc>
          <w:tcPr>
            <w:tcW w:w="8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人</w:t>
            </w:r>
            <w:r/>
          </w:p>
        </w:tc>
        <w:tc>
          <w:tcPr>
            <w:tcW w:w="89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22</w:t>
            </w:r>
            <w:r/>
          </w:p>
        </w:tc>
        <w:tc>
          <w:tcPr>
            <w:tcW w:w="0" w:type="auto"/>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91"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3</w:t>
            </w:r>
            <w:r/>
          </w:p>
        </w:tc>
        <w:tc>
          <w:tcPr>
            <w:tcW w:w="1356"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绿化工</w:t>
            </w:r>
            <w:r/>
          </w:p>
        </w:tc>
        <w:tc>
          <w:tcPr>
            <w:tcW w:w="8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人</w:t>
            </w:r>
            <w:r/>
          </w:p>
        </w:tc>
        <w:tc>
          <w:tcPr>
            <w:tcW w:w="89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0" w:type="auto"/>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91"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4</w:t>
            </w:r>
            <w:r/>
          </w:p>
        </w:tc>
        <w:tc>
          <w:tcPr>
            <w:tcW w:w="1356"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安全员</w:t>
            </w:r>
            <w:r/>
          </w:p>
        </w:tc>
        <w:tc>
          <w:tcPr>
            <w:tcW w:w="8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人</w:t>
            </w:r>
            <w:r/>
          </w:p>
        </w:tc>
        <w:tc>
          <w:tcPr>
            <w:tcW w:w="89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0" w:type="auto"/>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91"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bl>
    <w:p>
      <w:pPr>
        <w:ind w:firstLine="420"/>
        <w:spacing w:line="44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仿宋" w:hAnsi="仿宋" w:eastAsia="仿宋"/>
          <w:b/>
          <w:bCs/>
          <w:color w:val="auto"/>
          <w:szCs w:val="21"/>
          <w:highlight w:val="none"/>
        </w:rPr>
      </w:pPr>
      <w:r>
        <w:rPr>
          <w:rFonts w:hint="eastAsia" w:ascii="仿宋" w:hAnsi="仿宋" w:eastAsia="仿宋"/>
          <w:b/>
          <w:bCs/>
          <w:color w:val="auto"/>
          <w:szCs w:val="21"/>
          <w:highlight w:val="none"/>
        </w:rPr>
        <w:t xml:space="preserve">表二：设备要求表</w:t>
      </w:r>
      <w:r/>
    </w:p>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（要求供应商投入设备不低于下表要求）</w:t>
      </w:r>
      <w:r/>
    </w:p>
    <w:tbl>
      <w:tblPr>
        <w:tblStyle w:val="885"/>
        <w:tblW w:w="50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2820"/>
        <w:gridCol w:w="1606"/>
        <w:gridCol w:w="2023"/>
        <w:gridCol w:w="1737"/>
        <w:gridCol w:w="1156"/>
      </w:tblGrid>
      <w:tr>
        <w:trPr>
          <w:jc w:val="center"/>
          <w:trHeight w:val="466" w:hRule="exact"/>
        </w:trPr>
        <w:tc>
          <w:tcPr>
            <w:tcW w:w="359"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序号</w:t>
            </w:r>
            <w:r/>
          </w:p>
        </w:tc>
        <w:tc>
          <w:tcPr>
            <w:tcW w:w="1401"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名 称</w:t>
            </w:r>
            <w:r/>
          </w:p>
        </w:tc>
        <w:tc>
          <w:tcPr>
            <w:tcW w:w="798"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单位</w:t>
            </w:r>
            <w:r/>
          </w:p>
        </w:tc>
        <w:tc>
          <w:tcPr>
            <w:tcW w:w="1005"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要求数量</w:t>
            </w:r>
            <w:r/>
          </w:p>
        </w:tc>
        <w:tc>
          <w:tcPr>
            <w:tcW w:w="863" w:type="pct"/>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投标响应数量</w:t>
            </w:r>
            <w:r/>
          </w:p>
        </w:tc>
        <w:tc>
          <w:tcPr>
            <w:tcW w:w="574"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备注</w:t>
            </w:r>
            <w:r/>
          </w:p>
        </w:tc>
      </w:tr>
      <w:tr>
        <w:trPr>
          <w:jc w:val="center"/>
          <w:trHeight w:val="420" w:hRule="exact"/>
        </w:trPr>
        <w:tc>
          <w:tcPr>
            <w:tcW w:w="35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140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巡查车辆</w:t>
            </w:r>
            <w:r/>
          </w:p>
        </w:tc>
        <w:tc>
          <w:tcPr>
            <w:tcW w:w="7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辆</w:t>
            </w:r>
            <w:r/>
          </w:p>
        </w:tc>
        <w:tc>
          <w:tcPr>
            <w:tcW w:w="1005"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3"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74" w:type="pct"/>
            <w:vAlign w:val="center"/>
            <w:vMerge w:val="restar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5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140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运输车辆</w:t>
            </w:r>
            <w:r/>
          </w:p>
        </w:tc>
        <w:tc>
          <w:tcPr>
            <w:tcW w:w="7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辆</w:t>
            </w:r>
            <w:r/>
          </w:p>
        </w:tc>
        <w:tc>
          <w:tcPr>
            <w:tcW w:w="1005"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63"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74"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5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3</w:t>
            </w:r>
            <w:r/>
          </w:p>
        </w:tc>
        <w:tc>
          <w:tcPr>
            <w:tcW w:w="140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洒水车</w:t>
            </w:r>
            <w:r/>
          </w:p>
        </w:tc>
        <w:tc>
          <w:tcPr>
            <w:tcW w:w="7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辆</w:t>
            </w:r>
            <w:r/>
          </w:p>
        </w:tc>
        <w:tc>
          <w:tcPr>
            <w:tcW w:w="1005"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63"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74"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5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4</w:t>
            </w:r>
            <w:r/>
          </w:p>
        </w:tc>
        <w:tc>
          <w:tcPr>
            <w:tcW w:w="140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电动保洁三轮车</w:t>
            </w:r>
            <w:r/>
          </w:p>
        </w:tc>
        <w:tc>
          <w:tcPr>
            <w:tcW w:w="7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辆</w:t>
            </w:r>
            <w:r/>
          </w:p>
        </w:tc>
        <w:tc>
          <w:tcPr>
            <w:tcW w:w="1005"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4</w:t>
            </w:r>
            <w:r/>
          </w:p>
        </w:tc>
        <w:tc>
          <w:tcPr>
            <w:tcW w:w="863"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74"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5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5</w:t>
            </w:r>
            <w:r/>
          </w:p>
        </w:tc>
        <w:tc>
          <w:tcPr>
            <w:tcW w:w="140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摄像器材（含手机）</w:t>
            </w:r>
            <w:r/>
          </w:p>
        </w:tc>
        <w:tc>
          <w:tcPr>
            <w:tcW w:w="7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套</w:t>
            </w:r>
            <w:r/>
          </w:p>
        </w:tc>
        <w:tc>
          <w:tcPr>
            <w:tcW w:w="1005"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63"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74"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5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6</w:t>
            </w:r>
            <w:r/>
          </w:p>
        </w:tc>
        <w:tc>
          <w:tcPr>
            <w:tcW w:w="140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割灌机</w:t>
            </w:r>
            <w:r/>
          </w:p>
        </w:tc>
        <w:tc>
          <w:tcPr>
            <w:tcW w:w="7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台</w:t>
            </w:r>
            <w:r/>
          </w:p>
        </w:tc>
        <w:tc>
          <w:tcPr>
            <w:tcW w:w="1005"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10</w:t>
            </w:r>
            <w:r/>
          </w:p>
        </w:tc>
        <w:tc>
          <w:tcPr>
            <w:tcW w:w="863"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74"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5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7</w:t>
            </w:r>
            <w:r/>
          </w:p>
        </w:tc>
        <w:tc>
          <w:tcPr>
            <w:tcW w:w="140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吹风机</w:t>
            </w:r>
            <w:r/>
          </w:p>
        </w:tc>
        <w:tc>
          <w:tcPr>
            <w:tcW w:w="7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台</w:t>
            </w:r>
            <w:r/>
          </w:p>
        </w:tc>
        <w:tc>
          <w:tcPr>
            <w:tcW w:w="1005"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6</w:t>
            </w:r>
            <w:r/>
          </w:p>
        </w:tc>
        <w:tc>
          <w:tcPr>
            <w:tcW w:w="863"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74"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5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8</w:t>
            </w:r>
            <w:r/>
          </w:p>
        </w:tc>
        <w:tc>
          <w:tcPr>
            <w:tcW w:w="140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绿篱机</w:t>
            </w:r>
            <w:r/>
          </w:p>
        </w:tc>
        <w:tc>
          <w:tcPr>
            <w:tcW w:w="7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台</w:t>
            </w:r>
            <w:r/>
          </w:p>
        </w:tc>
        <w:tc>
          <w:tcPr>
            <w:tcW w:w="1005"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3"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74" w:type="pct"/>
            <w:vAlign w:val="center"/>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5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9</w:t>
            </w:r>
            <w:r/>
          </w:p>
        </w:tc>
        <w:tc>
          <w:tcPr>
            <w:tcW w:w="140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打药机</w:t>
            </w:r>
            <w:r/>
          </w:p>
        </w:tc>
        <w:tc>
          <w:tcPr>
            <w:tcW w:w="7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台</w:t>
            </w:r>
            <w:r/>
          </w:p>
        </w:tc>
        <w:tc>
          <w:tcPr>
            <w:tcW w:w="1005"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63"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74" w:type="pct"/>
            <w:vAlign w:val="center"/>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5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10</w:t>
            </w:r>
            <w:r/>
          </w:p>
        </w:tc>
        <w:tc>
          <w:tcPr>
            <w:tcW w:w="140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油锯</w:t>
            </w:r>
            <w:r/>
          </w:p>
        </w:tc>
        <w:tc>
          <w:tcPr>
            <w:tcW w:w="7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套</w:t>
            </w:r>
            <w:r/>
          </w:p>
        </w:tc>
        <w:tc>
          <w:tcPr>
            <w:tcW w:w="1005"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63"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74" w:type="pct"/>
            <w:vAlign w:val="center"/>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bl>
    <w:p>
      <w:pPr>
        <w:ind w:firstLine="422"/>
        <w:jc w:val="center"/>
        <w:spacing w:line="360" w:lineRule="auto"/>
        <w:rPr>
          <w:rFonts w:ascii="仿宋" w:hAnsi="仿宋" w:eastAsia="仿宋"/>
          <w:b/>
          <w:bCs/>
          <w:color w:val="auto"/>
          <w:szCs w:val="21"/>
          <w:highlight w:val="none"/>
        </w:rPr>
      </w:pPr>
      <w:r>
        <w:rPr>
          <w:rFonts w:ascii="仿宋" w:hAnsi="仿宋" w:eastAsia="仿宋"/>
          <w:b/>
          <w:bCs/>
          <w:color w:val="auto"/>
          <w:szCs w:val="21"/>
          <w:highlight w:val="none"/>
        </w:rPr>
      </w:r>
      <w:r/>
    </w:p>
    <w:p>
      <w:pPr>
        <w:ind w:firstLine="422"/>
        <w:jc w:val="center"/>
        <w:spacing w:line="360" w:lineRule="auto"/>
        <w:rPr>
          <w:rFonts w:ascii="仿宋" w:hAnsi="仿宋" w:eastAsia="仿宋"/>
          <w:b/>
          <w:bCs/>
          <w:color w:val="auto"/>
          <w:szCs w:val="21"/>
          <w:highlight w:val="none"/>
        </w:rPr>
      </w:pPr>
      <w:r>
        <w:rPr>
          <w:rFonts w:hint="eastAsia" w:ascii="仿宋" w:hAnsi="仿宋" w:eastAsia="仿宋"/>
          <w:b/>
          <w:bCs/>
          <w:color w:val="auto"/>
          <w:szCs w:val="21"/>
          <w:highlight w:val="none"/>
        </w:rPr>
        <w:t xml:space="preserve">表三：工程量清单</w:t>
      </w:r>
      <w:r/>
    </w:p>
    <w:tbl>
      <w:tblPr>
        <w:tblStyle w:val="885"/>
        <w:tblW w:w="50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2054"/>
        <w:gridCol w:w="1228"/>
        <w:gridCol w:w="1595"/>
        <w:gridCol w:w="2249"/>
        <w:gridCol w:w="2247"/>
      </w:tblGrid>
      <w:tr>
        <w:trPr>
          <w:jc w:val="center"/>
          <w:trHeight w:val="436" w:hRule="exact"/>
        </w:trPr>
        <w:tc>
          <w:tcPr>
            <w:tcW w:w="344"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序号</w:t>
            </w:r>
            <w:r/>
          </w:p>
        </w:tc>
        <w:tc>
          <w:tcPr>
            <w:tcW w:w="1020"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名 称</w:t>
            </w:r>
            <w:r/>
          </w:p>
        </w:tc>
        <w:tc>
          <w:tcPr>
            <w:tcW w:w="610"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单位</w:t>
            </w:r>
            <w:r/>
          </w:p>
        </w:tc>
        <w:tc>
          <w:tcPr>
            <w:tcW w:w="792"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工程量</w:t>
            </w:r>
            <w:r/>
          </w:p>
        </w:tc>
        <w:tc>
          <w:tcPr>
            <w:tcW w:w="1117" w:type="pct"/>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投标单价</w:t>
            </w:r>
            <w:r/>
          </w:p>
        </w:tc>
        <w:tc>
          <w:tcPr>
            <w:tcW w:w="1116"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备注</w:t>
            </w:r>
            <w:r/>
          </w:p>
        </w:tc>
      </w:tr>
      <w:tr>
        <w:trPr>
          <w:jc w:val="center"/>
          <w:trHeight w:val="312"/>
        </w:trPr>
        <w:tc>
          <w:tcPr>
            <w:tcW w:w="34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102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生物防护草皮养护</w:t>
            </w:r>
            <w:r/>
          </w:p>
        </w:tc>
        <w:tc>
          <w:tcPr>
            <w:tcW w:w="61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m2</w:t>
            </w:r>
            <w:r/>
          </w:p>
        </w:tc>
        <w:tc>
          <w:tcPr>
            <w:tcW w:w="792"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474000</w:t>
            </w:r>
            <w:r/>
          </w:p>
        </w:tc>
        <w:tc>
          <w:tcPr>
            <w:tcW w:w="1117" w:type="pct"/>
            <w:textDirection w:val="lrTb"/>
            <w:noWrap w:val="false"/>
          </w:tcPr>
          <w:p>
            <w:pPr>
              <w:jc w:val="center"/>
              <w:rPr>
                <w:rFonts w:ascii="仿宋" w:hAnsi="仿宋" w:eastAsia="仿宋"/>
                <w:color w:val="auto"/>
                <w:szCs w:val="21"/>
                <w:highlight w:val="none"/>
              </w:rPr>
            </w:pPr>
            <w:r>
              <w:rPr>
                <w:rFonts w:ascii="仿宋" w:hAnsi="仿宋" w:eastAsia="仿宋"/>
                <w:color w:val="auto"/>
                <w:szCs w:val="21"/>
                <w:highlight w:val="none"/>
              </w:rPr>
            </w:r>
            <w:r/>
          </w:p>
        </w:tc>
        <w:tc>
          <w:tcPr>
            <w:tcW w:w="1116" w:type="pct"/>
            <w:vAlign w:val="center"/>
            <w:vMerge w:val="restart"/>
            <w:textDirection w:val="lrTb"/>
            <w:noWrap w:val="false"/>
          </w:tcPr>
          <w:p>
            <w:pPr>
              <w:jc w:val="center"/>
              <w:rPr>
                <w:rFonts w:ascii="仿宋" w:hAnsi="仿宋" w:eastAsia="仿宋"/>
                <w:color w:val="auto"/>
                <w:szCs w:val="21"/>
                <w:highlight w:val="none"/>
              </w:rPr>
            </w:pPr>
            <w:r>
              <w:rPr>
                <w:rFonts w:ascii="仿宋" w:hAnsi="仿宋" w:eastAsia="仿宋"/>
                <w:color w:val="auto"/>
                <w:szCs w:val="21"/>
                <w:highlight w:val="none"/>
              </w:rPr>
            </w:r>
            <w:r/>
          </w:p>
          <w:p>
            <w:pPr>
              <w:jc w:val="center"/>
              <w:rPr>
                <w:rFonts w:ascii="仿宋" w:hAnsi="仿宋" w:eastAsia="仿宋"/>
                <w:color w:val="auto"/>
                <w:szCs w:val="21"/>
                <w:highlight w:val="none"/>
              </w:rPr>
            </w:pPr>
            <w:r>
              <w:rPr>
                <w:rFonts w:ascii="仿宋" w:hAnsi="仿宋" w:eastAsia="仿宋"/>
                <w:color w:val="auto"/>
                <w:szCs w:val="21"/>
                <w:highlight w:val="none"/>
              </w:rPr>
            </w:r>
            <w:r/>
          </w:p>
          <w:p>
            <w:pPr>
              <w:jc w:val="center"/>
              <w:rPr>
                <w:rFonts w:ascii="仿宋" w:hAnsi="仿宋" w:eastAsia="仿宋"/>
                <w:color w:val="auto"/>
                <w:szCs w:val="21"/>
                <w:highlight w:val="none"/>
              </w:rPr>
            </w:pPr>
            <w:r>
              <w:rPr>
                <w:rFonts w:ascii="仿宋" w:hAnsi="仿宋" w:eastAsia="仿宋"/>
                <w:color w:val="auto"/>
                <w:szCs w:val="21"/>
                <w:highlight w:val="none"/>
              </w:rPr>
            </w:r>
            <w:r/>
          </w:p>
          <w:p>
            <w:pPr>
              <w:jc w:val="center"/>
              <w:rPr>
                <w:rFonts w:ascii="仿宋" w:hAnsi="仿宋" w:eastAsia="仿宋"/>
                <w:color w:val="auto"/>
                <w:szCs w:val="21"/>
                <w:highlight w:val="none"/>
              </w:rPr>
            </w:pPr>
            <w:r>
              <w:rPr>
                <w:rFonts w:ascii="仿宋" w:hAnsi="仿宋" w:eastAsia="仿宋"/>
                <w:color w:val="auto"/>
                <w:szCs w:val="21"/>
                <w:highlight w:val="none"/>
              </w:rPr>
            </w:r>
            <w:r/>
          </w:p>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详细内容及要求见“四、养护工作要求”</w:t>
            </w:r>
            <w:r/>
          </w:p>
        </w:tc>
      </w:tr>
      <w:tr>
        <w:trPr>
          <w:jc w:val="center"/>
          <w:trHeight w:val="312" w:hRule="exact"/>
        </w:trPr>
        <w:tc>
          <w:tcPr>
            <w:tcW w:w="34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102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杂树灌木修整</w:t>
            </w:r>
            <w:r/>
          </w:p>
        </w:tc>
        <w:tc>
          <w:tcPr>
            <w:tcW w:w="61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m2</w:t>
            </w:r>
            <w:r/>
          </w:p>
        </w:tc>
        <w:tc>
          <w:tcPr>
            <w:tcW w:w="792"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15800</w:t>
            </w:r>
            <w:r/>
          </w:p>
        </w:tc>
        <w:tc>
          <w:tcPr>
            <w:tcW w:w="1117"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1116"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4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3</w:t>
            </w:r>
            <w:r/>
          </w:p>
        </w:tc>
        <w:tc>
          <w:tcPr>
            <w:tcW w:w="102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环境保洁</w:t>
            </w:r>
            <w:r/>
          </w:p>
        </w:tc>
        <w:tc>
          <w:tcPr>
            <w:tcW w:w="61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m2</w:t>
            </w:r>
            <w:r/>
          </w:p>
        </w:tc>
        <w:tc>
          <w:tcPr>
            <w:tcW w:w="792"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725092</w:t>
            </w:r>
            <w:r/>
          </w:p>
        </w:tc>
        <w:tc>
          <w:tcPr>
            <w:tcW w:w="1117"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1116"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4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4</w:t>
            </w:r>
            <w:r/>
          </w:p>
        </w:tc>
        <w:tc>
          <w:tcPr>
            <w:tcW w:w="102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砼护坡坡面养护</w:t>
            </w:r>
            <w:r/>
          </w:p>
        </w:tc>
        <w:tc>
          <w:tcPr>
            <w:tcW w:w="61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m2</w:t>
            </w:r>
            <w:r/>
          </w:p>
        </w:tc>
        <w:tc>
          <w:tcPr>
            <w:tcW w:w="792"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20000</w:t>
            </w:r>
            <w:r/>
          </w:p>
        </w:tc>
        <w:tc>
          <w:tcPr>
            <w:tcW w:w="1117"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1116"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4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5</w:t>
            </w:r>
            <w:r/>
          </w:p>
        </w:tc>
        <w:tc>
          <w:tcPr>
            <w:tcW w:w="102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排水沟养护</w:t>
            </w:r>
            <w:r/>
          </w:p>
        </w:tc>
        <w:tc>
          <w:tcPr>
            <w:tcW w:w="61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m</w:t>
            </w:r>
            <w:r/>
          </w:p>
        </w:tc>
        <w:tc>
          <w:tcPr>
            <w:tcW w:w="792"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0</w:t>
            </w:r>
            <w:r/>
          </w:p>
        </w:tc>
        <w:tc>
          <w:tcPr>
            <w:tcW w:w="1117"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1116"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4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6</w:t>
            </w:r>
            <w:r/>
          </w:p>
        </w:tc>
        <w:tc>
          <w:tcPr>
            <w:tcW w:w="102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巡查便道养护</w:t>
            </w:r>
            <w:r/>
          </w:p>
        </w:tc>
        <w:tc>
          <w:tcPr>
            <w:tcW w:w="61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m</w:t>
            </w:r>
            <w:r/>
          </w:p>
        </w:tc>
        <w:tc>
          <w:tcPr>
            <w:tcW w:w="792"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15000</w:t>
            </w:r>
            <w:r/>
          </w:p>
        </w:tc>
        <w:tc>
          <w:tcPr>
            <w:tcW w:w="1117"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1116"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4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7</w:t>
            </w:r>
            <w:r/>
          </w:p>
        </w:tc>
        <w:tc>
          <w:tcPr>
            <w:tcW w:w="102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标志标牌养护</w:t>
            </w:r>
            <w:r/>
          </w:p>
        </w:tc>
        <w:tc>
          <w:tcPr>
            <w:tcW w:w="61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块</w:t>
            </w:r>
            <w:r/>
          </w:p>
        </w:tc>
        <w:tc>
          <w:tcPr>
            <w:tcW w:w="792"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193</w:t>
            </w:r>
            <w:r/>
          </w:p>
        </w:tc>
        <w:tc>
          <w:tcPr>
            <w:tcW w:w="1117"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1116"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4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8</w:t>
            </w:r>
            <w:r/>
          </w:p>
        </w:tc>
        <w:tc>
          <w:tcPr>
            <w:tcW w:w="102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界碑界牌里程桩养护</w:t>
            </w:r>
            <w:r/>
          </w:p>
        </w:tc>
        <w:tc>
          <w:tcPr>
            <w:tcW w:w="61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块</w:t>
            </w:r>
            <w:r/>
          </w:p>
        </w:tc>
        <w:tc>
          <w:tcPr>
            <w:tcW w:w="792"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374</w:t>
            </w:r>
            <w:r/>
          </w:p>
        </w:tc>
        <w:tc>
          <w:tcPr>
            <w:tcW w:w="1117"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1116"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4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9</w:t>
            </w:r>
            <w:r/>
          </w:p>
        </w:tc>
        <w:tc>
          <w:tcPr>
            <w:tcW w:w="102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限高杆、限宽墩、限行标志养护</w:t>
            </w:r>
            <w:r/>
          </w:p>
        </w:tc>
        <w:tc>
          <w:tcPr>
            <w:tcW w:w="61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个</w:t>
            </w:r>
            <w:r/>
          </w:p>
        </w:tc>
        <w:tc>
          <w:tcPr>
            <w:tcW w:w="792"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8</w:t>
            </w:r>
            <w:r/>
          </w:p>
        </w:tc>
        <w:tc>
          <w:tcPr>
            <w:tcW w:w="1117"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1116"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4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10</w:t>
            </w:r>
            <w:r/>
          </w:p>
        </w:tc>
        <w:tc>
          <w:tcPr>
            <w:tcW w:w="102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升降桩</w:t>
            </w:r>
            <w:r/>
          </w:p>
        </w:tc>
        <w:tc>
          <w:tcPr>
            <w:tcW w:w="61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处</w:t>
            </w:r>
            <w:r/>
          </w:p>
        </w:tc>
        <w:tc>
          <w:tcPr>
            <w:tcW w:w="792"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10</w:t>
            </w:r>
            <w:r/>
          </w:p>
        </w:tc>
        <w:tc>
          <w:tcPr>
            <w:tcW w:w="1117"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1116"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4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11</w:t>
            </w:r>
            <w:r/>
          </w:p>
        </w:tc>
        <w:tc>
          <w:tcPr>
            <w:tcW w:w="102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汛后亲水平台淤泥清理</w:t>
            </w:r>
            <w:r/>
          </w:p>
        </w:tc>
        <w:tc>
          <w:tcPr>
            <w:tcW w:w="61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m2</w:t>
            </w:r>
            <w:r/>
          </w:p>
        </w:tc>
        <w:tc>
          <w:tcPr>
            <w:tcW w:w="792"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26000</w:t>
            </w:r>
            <w:r/>
          </w:p>
        </w:tc>
        <w:tc>
          <w:tcPr>
            <w:tcW w:w="1117"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1116"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4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12</w:t>
            </w:r>
            <w:r/>
          </w:p>
        </w:tc>
        <w:tc>
          <w:tcPr>
            <w:tcW w:w="102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亲水平台步行道芦苇荡清理</w:t>
            </w:r>
            <w:r/>
          </w:p>
        </w:tc>
        <w:tc>
          <w:tcPr>
            <w:tcW w:w="61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m2</w:t>
            </w:r>
            <w:r/>
          </w:p>
        </w:tc>
        <w:tc>
          <w:tcPr>
            <w:tcW w:w="792"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20000</w:t>
            </w:r>
            <w:r/>
          </w:p>
        </w:tc>
        <w:tc>
          <w:tcPr>
            <w:tcW w:w="1117"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1116"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bl>
    <w:p>
      <w:pPr>
        <w:rPr>
          <w:color w:val="auto"/>
          <w:szCs w:val="21"/>
          <w:highlight w:val="none"/>
        </w:rPr>
      </w:pPr>
      <w:r>
        <w:rPr>
          <w:rFonts w:hint="eastAsia" w:ascii="仿宋" w:hAnsi="仿宋" w:eastAsia="仿宋"/>
          <w:b/>
          <w:color w:val="auto"/>
          <w:szCs w:val="21"/>
          <w:highlight w:val="none"/>
        </w:rPr>
        <w:t xml:space="preserve">注：1、以上工程量均为估算工程量，供供应商参考，具体实际养护工程量以实际踏勘为准，每包均为总价包干。</w:t>
      </w:r>
      <w:r/>
    </w:p>
    <w:p>
      <w:pPr>
        <w:pStyle w:val="878"/>
        <w:rPr>
          <w:color w:val="auto"/>
          <w:sz w:val="21"/>
          <w:szCs w:val="21"/>
          <w:highlight w:val="none"/>
        </w:rPr>
      </w:pPr>
      <w:r>
        <w:rPr>
          <w:rFonts w:hint="eastAsia"/>
          <w:color w:val="auto"/>
          <w:sz w:val="21"/>
          <w:szCs w:val="21"/>
          <w:highlight w:val="none"/>
        </w:rPr>
        <w:t xml:space="preserve">□包二</w:t>
      </w:r>
      <w:r/>
    </w:p>
    <w:p>
      <w:pPr>
        <w:jc w:val="center"/>
        <w:spacing w:line="360" w:lineRule="auto"/>
        <w:rPr>
          <w:rFonts w:ascii="仿宋" w:hAnsi="仿宋" w:eastAsia="仿宋"/>
          <w:b/>
          <w:bCs/>
          <w:color w:val="auto"/>
          <w:szCs w:val="21"/>
          <w:highlight w:val="none"/>
        </w:rPr>
      </w:pPr>
      <w:r>
        <w:rPr>
          <w:rFonts w:hint="eastAsia" w:ascii="仿宋" w:hAnsi="仿宋" w:eastAsia="仿宋"/>
          <w:b/>
          <w:bCs/>
          <w:color w:val="auto"/>
          <w:szCs w:val="21"/>
          <w:highlight w:val="none"/>
        </w:rPr>
        <w:t xml:space="preserve">表一：人员要求表</w:t>
      </w:r>
      <w:r/>
    </w:p>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（要求供应商投入人员不低于下表要求）</w:t>
      </w:r>
      <w:r/>
    </w:p>
    <w:tbl>
      <w:tblPr>
        <w:tblStyle w:val="885"/>
        <w:tblW w:w="51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2770"/>
        <w:gridCol w:w="1812"/>
        <w:gridCol w:w="1818"/>
        <w:gridCol w:w="1816"/>
        <w:gridCol w:w="1207"/>
      </w:tblGrid>
      <w:tr>
        <w:trPr>
          <w:jc w:val="center"/>
          <w:trHeight w:val="436" w:hRule="exact"/>
        </w:trPr>
        <w:tc>
          <w:tcPr>
            <w:tcW w:w="387"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序号</w:t>
            </w:r>
            <w:r/>
          </w:p>
        </w:tc>
        <w:tc>
          <w:tcPr>
            <w:tcW w:w="1356"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名 称</w:t>
            </w:r>
            <w:r/>
          </w:p>
        </w:tc>
        <w:tc>
          <w:tcPr>
            <w:tcW w:w="887"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单位</w:t>
            </w:r>
            <w:r/>
          </w:p>
        </w:tc>
        <w:tc>
          <w:tcPr>
            <w:tcW w:w="890"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要求数量</w:t>
            </w:r>
            <w:r/>
          </w:p>
        </w:tc>
        <w:tc>
          <w:tcPr>
            <w:tcW w:w="889" w:type="pct"/>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投标响应数量</w:t>
            </w:r>
            <w:r/>
          </w:p>
        </w:tc>
        <w:tc>
          <w:tcPr>
            <w:tcW w:w="591" w:type="pct"/>
            <w:vAlign w:val="center"/>
            <w:textDirection w:val="lrTb"/>
            <w:noWrap w:val="false"/>
          </w:tcPr>
          <w:p>
            <w:pPr>
              <w:jc w:val="center"/>
              <w:rPr>
                <w:rFonts w:ascii="仿宋" w:hAnsi="仿宋" w:eastAsia="仿宋"/>
                <w:b/>
                <w:bCs/>
                <w:color w:val="auto"/>
                <w:szCs w:val="21"/>
                <w:highlight w:val="none"/>
              </w:rPr>
            </w:pPr>
            <w:r>
              <w:rPr>
                <w:rFonts w:ascii="仿宋" w:hAnsi="仿宋" w:eastAsia="仿宋"/>
                <w:b/>
                <w:bCs/>
                <w:color w:val="auto"/>
                <w:szCs w:val="21"/>
                <w:highlight w:val="none"/>
              </w:rPr>
              <w:t xml:space="preserve">备注</w:t>
            </w:r>
            <w:r/>
          </w:p>
        </w:tc>
      </w:tr>
      <w:tr>
        <w:trPr>
          <w:jc w:val="center"/>
          <w:trHeight w:val="312"/>
        </w:trPr>
        <w:tc>
          <w:tcPr>
            <w:tcW w:w="3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1356"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管理人员（含项目负责人）</w:t>
            </w:r>
            <w:r/>
          </w:p>
        </w:tc>
        <w:tc>
          <w:tcPr>
            <w:tcW w:w="8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人</w:t>
            </w:r>
            <w:r/>
          </w:p>
        </w:tc>
        <w:tc>
          <w:tcPr>
            <w:tcW w:w="89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89" w:type="pct"/>
            <w:textDirection w:val="lrTb"/>
            <w:noWrap w:val="false"/>
          </w:tcPr>
          <w:p>
            <w:pPr>
              <w:jc w:val="center"/>
              <w:rPr>
                <w:rFonts w:ascii="仿宋" w:hAnsi="仿宋" w:eastAsia="仿宋"/>
                <w:color w:val="auto"/>
                <w:szCs w:val="21"/>
                <w:highlight w:val="none"/>
              </w:rPr>
            </w:pPr>
            <w:r>
              <w:rPr>
                <w:rFonts w:ascii="仿宋" w:hAnsi="仿宋" w:eastAsia="仿宋"/>
                <w:color w:val="auto"/>
                <w:szCs w:val="21"/>
                <w:highlight w:val="none"/>
              </w:rPr>
            </w:r>
            <w:r/>
          </w:p>
        </w:tc>
        <w:tc>
          <w:tcPr>
            <w:tcW w:w="591" w:type="pct"/>
            <w:vAlign w:val="center"/>
            <w:vMerge w:val="restart"/>
            <w:textDirection w:val="lrTb"/>
            <w:noWrap w:val="false"/>
          </w:tcPr>
          <w:p>
            <w:pPr>
              <w:jc w:val="center"/>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1356"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养护人员</w:t>
            </w:r>
            <w:r/>
          </w:p>
        </w:tc>
        <w:tc>
          <w:tcPr>
            <w:tcW w:w="8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人</w:t>
            </w:r>
            <w:r/>
          </w:p>
        </w:tc>
        <w:tc>
          <w:tcPr>
            <w:tcW w:w="89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22</w:t>
            </w:r>
            <w:r/>
          </w:p>
        </w:tc>
        <w:tc>
          <w:tcPr>
            <w:tcW w:w="0" w:type="auto"/>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91"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3</w:t>
            </w:r>
            <w:r/>
          </w:p>
        </w:tc>
        <w:tc>
          <w:tcPr>
            <w:tcW w:w="1356"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绿化工</w:t>
            </w:r>
            <w:r/>
          </w:p>
        </w:tc>
        <w:tc>
          <w:tcPr>
            <w:tcW w:w="8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人</w:t>
            </w:r>
            <w:r/>
          </w:p>
        </w:tc>
        <w:tc>
          <w:tcPr>
            <w:tcW w:w="89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0" w:type="auto"/>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91"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4</w:t>
            </w:r>
            <w:r/>
          </w:p>
        </w:tc>
        <w:tc>
          <w:tcPr>
            <w:tcW w:w="1356"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安全员</w:t>
            </w:r>
            <w:r/>
          </w:p>
        </w:tc>
        <w:tc>
          <w:tcPr>
            <w:tcW w:w="8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人</w:t>
            </w:r>
            <w:r/>
          </w:p>
        </w:tc>
        <w:tc>
          <w:tcPr>
            <w:tcW w:w="89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0" w:type="auto"/>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91"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bl>
    <w:p>
      <w:pPr>
        <w:ind w:firstLine="420"/>
        <w:spacing w:line="44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仿宋" w:hAnsi="仿宋" w:eastAsia="仿宋"/>
          <w:b/>
          <w:bCs/>
          <w:color w:val="auto"/>
          <w:szCs w:val="21"/>
          <w:highlight w:val="none"/>
        </w:rPr>
      </w:pPr>
      <w:r>
        <w:rPr>
          <w:rFonts w:hint="eastAsia" w:ascii="仿宋" w:hAnsi="仿宋" w:eastAsia="仿宋"/>
          <w:b/>
          <w:bCs/>
          <w:color w:val="auto"/>
          <w:szCs w:val="21"/>
          <w:highlight w:val="none"/>
        </w:rPr>
        <w:t xml:space="preserve">表二：设备要求表</w:t>
      </w:r>
      <w:r/>
    </w:p>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（要求供应商投入设备不低于下表要求）</w:t>
      </w:r>
      <w:r/>
    </w:p>
    <w:tbl>
      <w:tblPr>
        <w:tblStyle w:val="885"/>
        <w:tblW w:w="5148" w:type="pct"/>
        <w:jc w:val="center"/>
        <w:tblBorders>
          <w:top w:val="single" w:color="auto" w:sz="4" w:space="0"/>
          <w:left w:val="single" w:color="auto" w:sz="4" w:space="0"/>
          <w:bottom w:val="single" w:color="auto" w:sz="8"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3"/>
        <w:gridCol w:w="3057"/>
        <w:gridCol w:w="1606"/>
        <w:gridCol w:w="2022"/>
        <w:gridCol w:w="1738"/>
        <w:gridCol w:w="1156"/>
      </w:tblGrid>
      <w:tr>
        <w:trPr>
          <w:jc w:val="center"/>
          <w:trHeight w:val="436" w:hRule="exact"/>
        </w:trPr>
        <w:tc>
          <w:tcPr>
            <w:tcW w:w="287"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序号</w:t>
            </w:r>
            <w:r/>
          </w:p>
        </w:tc>
        <w:tc>
          <w:tcPr>
            <w:tcW w:w="1504"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名 称</w:t>
            </w:r>
            <w:r/>
          </w:p>
        </w:tc>
        <w:tc>
          <w:tcPr>
            <w:tcW w:w="790"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单位</w:t>
            </w:r>
            <w:r/>
          </w:p>
        </w:tc>
        <w:tc>
          <w:tcPr>
            <w:tcW w:w="995"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要求数量</w:t>
            </w:r>
            <w:r/>
          </w:p>
        </w:tc>
        <w:tc>
          <w:tcPr>
            <w:tcW w:w="855" w:type="pct"/>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投标响应数量</w:t>
            </w:r>
            <w:r/>
          </w:p>
        </w:tc>
        <w:tc>
          <w:tcPr>
            <w:tcW w:w="569"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备注</w:t>
            </w:r>
            <w:r/>
          </w:p>
        </w:tc>
      </w:tr>
      <w:tr>
        <w:trPr>
          <w:jc w:val="center"/>
          <w:trHeight w:val="420" w:hRule="exact"/>
        </w:trPr>
        <w:tc>
          <w:tcPr>
            <w:tcW w:w="2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150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巡查车辆</w:t>
            </w:r>
            <w:r/>
          </w:p>
        </w:tc>
        <w:tc>
          <w:tcPr>
            <w:tcW w:w="79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辆</w:t>
            </w:r>
            <w:r/>
          </w:p>
        </w:tc>
        <w:tc>
          <w:tcPr>
            <w:tcW w:w="995"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55"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69" w:type="pct"/>
            <w:vAlign w:val="center"/>
            <w:vMerge w:val="restar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2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150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运输车辆</w:t>
            </w:r>
            <w:r/>
          </w:p>
        </w:tc>
        <w:tc>
          <w:tcPr>
            <w:tcW w:w="79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辆</w:t>
            </w:r>
            <w:r/>
          </w:p>
        </w:tc>
        <w:tc>
          <w:tcPr>
            <w:tcW w:w="995"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55"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69"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2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3</w:t>
            </w:r>
            <w:r/>
          </w:p>
        </w:tc>
        <w:tc>
          <w:tcPr>
            <w:tcW w:w="150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洒水车</w:t>
            </w:r>
            <w:r/>
          </w:p>
        </w:tc>
        <w:tc>
          <w:tcPr>
            <w:tcW w:w="79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辆</w:t>
            </w:r>
            <w:r/>
          </w:p>
        </w:tc>
        <w:tc>
          <w:tcPr>
            <w:tcW w:w="995"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55"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69"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2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4</w:t>
            </w:r>
            <w:r/>
          </w:p>
        </w:tc>
        <w:tc>
          <w:tcPr>
            <w:tcW w:w="150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电动保洁三轮车</w:t>
            </w:r>
            <w:r/>
          </w:p>
        </w:tc>
        <w:tc>
          <w:tcPr>
            <w:tcW w:w="79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辆</w:t>
            </w:r>
            <w:r/>
          </w:p>
        </w:tc>
        <w:tc>
          <w:tcPr>
            <w:tcW w:w="995"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4</w:t>
            </w:r>
            <w:r/>
          </w:p>
        </w:tc>
        <w:tc>
          <w:tcPr>
            <w:tcW w:w="855"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69"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2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5</w:t>
            </w:r>
            <w:r/>
          </w:p>
        </w:tc>
        <w:tc>
          <w:tcPr>
            <w:tcW w:w="150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摄像器材（含手机）</w:t>
            </w:r>
            <w:r/>
          </w:p>
        </w:tc>
        <w:tc>
          <w:tcPr>
            <w:tcW w:w="79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套</w:t>
            </w:r>
            <w:r/>
          </w:p>
        </w:tc>
        <w:tc>
          <w:tcPr>
            <w:tcW w:w="995"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55"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69"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2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6</w:t>
            </w:r>
            <w:r/>
          </w:p>
        </w:tc>
        <w:tc>
          <w:tcPr>
            <w:tcW w:w="150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割灌机</w:t>
            </w:r>
            <w:r/>
          </w:p>
        </w:tc>
        <w:tc>
          <w:tcPr>
            <w:tcW w:w="79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台</w:t>
            </w:r>
            <w:r/>
          </w:p>
        </w:tc>
        <w:tc>
          <w:tcPr>
            <w:tcW w:w="995"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10</w:t>
            </w:r>
            <w:r/>
          </w:p>
        </w:tc>
        <w:tc>
          <w:tcPr>
            <w:tcW w:w="855"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69"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2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7</w:t>
            </w:r>
            <w:r/>
          </w:p>
        </w:tc>
        <w:tc>
          <w:tcPr>
            <w:tcW w:w="150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吹风机</w:t>
            </w:r>
            <w:r/>
          </w:p>
        </w:tc>
        <w:tc>
          <w:tcPr>
            <w:tcW w:w="79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台</w:t>
            </w:r>
            <w:r/>
          </w:p>
        </w:tc>
        <w:tc>
          <w:tcPr>
            <w:tcW w:w="995"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6</w:t>
            </w:r>
            <w:r/>
          </w:p>
        </w:tc>
        <w:tc>
          <w:tcPr>
            <w:tcW w:w="855"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69"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2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8</w:t>
            </w:r>
            <w:r/>
          </w:p>
        </w:tc>
        <w:tc>
          <w:tcPr>
            <w:tcW w:w="150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绿篱机</w:t>
            </w:r>
            <w:r/>
          </w:p>
        </w:tc>
        <w:tc>
          <w:tcPr>
            <w:tcW w:w="79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台</w:t>
            </w:r>
            <w:r/>
          </w:p>
        </w:tc>
        <w:tc>
          <w:tcPr>
            <w:tcW w:w="995"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55"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69"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2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9</w:t>
            </w:r>
            <w:r/>
          </w:p>
        </w:tc>
        <w:tc>
          <w:tcPr>
            <w:tcW w:w="150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打药机</w:t>
            </w:r>
            <w:r/>
          </w:p>
        </w:tc>
        <w:tc>
          <w:tcPr>
            <w:tcW w:w="79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台</w:t>
            </w:r>
            <w:r/>
          </w:p>
        </w:tc>
        <w:tc>
          <w:tcPr>
            <w:tcW w:w="995"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55"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69"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2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10</w:t>
            </w:r>
            <w:r/>
          </w:p>
        </w:tc>
        <w:tc>
          <w:tcPr>
            <w:tcW w:w="150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油锯</w:t>
            </w:r>
            <w:r/>
          </w:p>
        </w:tc>
        <w:tc>
          <w:tcPr>
            <w:tcW w:w="79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套</w:t>
            </w:r>
            <w:r/>
          </w:p>
        </w:tc>
        <w:tc>
          <w:tcPr>
            <w:tcW w:w="995"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55"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69"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bl>
    <w:p>
      <w:pPr>
        <w:jc w:val="center"/>
        <w:spacing w:line="360" w:lineRule="auto"/>
        <w:rPr>
          <w:rFonts w:ascii="仿宋" w:hAnsi="仿宋" w:eastAsia="仿宋"/>
          <w:b/>
          <w:bCs/>
          <w:color w:val="auto"/>
          <w:szCs w:val="21"/>
          <w:highlight w:val="none"/>
        </w:rPr>
      </w:pPr>
      <w:r>
        <w:rPr>
          <w:rFonts w:hint="eastAsia" w:ascii="仿宋" w:hAnsi="仿宋" w:eastAsia="仿宋"/>
          <w:b/>
          <w:bCs/>
          <w:color w:val="auto"/>
          <w:szCs w:val="21"/>
          <w:highlight w:val="none"/>
        </w:rPr>
        <w:t xml:space="preserve">表三：工程量清单</w:t>
      </w:r>
      <w:r/>
    </w:p>
    <w:tbl>
      <w:tblPr>
        <w:tblStyle w:val="885"/>
        <w:tblW w:w="52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1"/>
        <w:gridCol w:w="3031"/>
        <w:gridCol w:w="1737"/>
        <w:gridCol w:w="1896"/>
        <w:gridCol w:w="1894"/>
        <w:gridCol w:w="1127"/>
      </w:tblGrid>
      <w:tr>
        <w:trPr>
          <w:jc w:val="center"/>
          <w:trHeight w:val="436" w:hRule="exact"/>
        </w:trPr>
        <w:tc>
          <w:tcPr>
            <w:tcW w:w="306" w:type="pct"/>
            <w:vAlign w:val="center"/>
            <w:textDirection w:val="lrTb"/>
            <w:noWrap w:val="false"/>
          </w:tcPr>
          <w:p>
            <w:pPr>
              <w:jc w:val="center"/>
              <w:rPr>
                <w:rFonts w:ascii="仿宋" w:hAnsi="仿宋" w:eastAsia="仿宋"/>
                <w:b/>
                <w:color w:val="auto"/>
                <w:szCs w:val="21"/>
                <w:highlight w:val="none"/>
              </w:rPr>
            </w:pPr>
            <w:r>
              <w:rPr>
                <w:rFonts w:hint="eastAsia" w:ascii="仿宋" w:hAnsi="仿宋" w:eastAsia="仿宋"/>
                <w:b/>
                <w:color w:val="auto"/>
                <w:szCs w:val="21"/>
                <w:highlight w:val="none"/>
              </w:rPr>
              <w:t xml:space="preserve">序号</w:t>
            </w:r>
            <w:r/>
          </w:p>
        </w:tc>
        <w:tc>
          <w:tcPr>
            <w:tcW w:w="1469" w:type="pct"/>
            <w:vAlign w:val="center"/>
            <w:textDirection w:val="lrTb"/>
            <w:noWrap w:val="false"/>
          </w:tcPr>
          <w:p>
            <w:pPr>
              <w:jc w:val="center"/>
              <w:rPr>
                <w:rFonts w:ascii="仿宋" w:hAnsi="仿宋" w:eastAsia="仿宋"/>
                <w:b/>
                <w:color w:val="auto"/>
                <w:szCs w:val="21"/>
                <w:highlight w:val="none"/>
              </w:rPr>
            </w:pPr>
            <w:r>
              <w:rPr>
                <w:rFonts w:hint="eastAsia" w:ascii="仿宋" w:hAnsi="仿宋" w:eastAsia="仿宋"/>
                <w:b/>
                <w:color w:val="auto"/>
                <w:szCs w:val="21"/>
                <w:highlight w:val="none"/>
              </w:rPr>
              <w:t xml:space="preserve">名 称</w:t>
            </w:r>
            <w:r/>
          </w:p>
        </w:tc>
        <w:tc>
          <w:tcPr>
            <w:tcW w:w="842" w:type="pct"/>
            <w:vAlign w:val="center"/>
            <w:textDirection w:val="lrTb"/>
            <w:noWrap w:val="false"/>
          </w:tcPr>
          <w:p>
            <w:pPr>
              <w:jc w:val="center"/>
              <w:rPr>
                <w:rFonts w:ascii="仿宋" w:hAnsi="仿宋" w:eastAsia="仿宋"/>
                <w:b/>
                <w:color w:val="auto"/>
                <w:szCs w:val="21"/>
                <w:highlight w:val="none"/>
              </w:rPr>
            </w:pPr>
            <w:r>
              <w:rPr>
                <w:rFonts w:hint="eastAsia" w:ascii="仿宋" w:hAnsi="仿宋" w:eastAsia="仿宋"/>
                <w:b/>
                <w:color w:val="auto"/>
                <w:szCs w:val="21"/>
                <w:highlight w:val="none"/>
              </w:rPr>
              <w:t xml:space="preserve">单位</w:t>
            </w:r>
            <w:r/>
          </w:p>
        </w:tc>
        <w:tc>
          <w:tcPr>
            <w:tcW w:w="919" w:type="pct"/>
            <w:vAlign w:val="center"/>
            <w:textDirection w:val="lrTb"/>
            <w:noWrap w:val="false"/>
          </w:tcPr>
          <w:p>
            <w:pPr>
              <w:jc w:val="center"/>
              <w:rPr>
                <w:rFonts w:ascii="仿宋" w:hAnsi="仿宋" w:eastAsia="仿宋"/>
                <w:b/>
                <w:color w:val="auto"/>
                <w:szCs w:val="21"/>
                <w:highlight w:val="none"/>
              </w:rPr>
            </w:pPr>
            <w:r>
              <w:rPr>
                <w:rFonts w:hint="eastAsia" w:ascii="仿宋" w:hAnsi="仿宋" w:eastAsia="仿宋"/>
                <w:b/>
                <w:color w:val="auto"/>
                <w:szCs w:val="21"/>
                <w:highlight w:val="none"/>
              </w:rPr>
              <w:t xml:space="preserve">工程量</w:t>
            </w:r>
            <w:r/>
          </w:p>
        </w:tc>
        <w:tc>
          <w:tcPr>
            <w:tcW w:w="918" w:type="pct"/>
            <w:textDirection w:val="lrTb"/>
            <w:noWrap w:val="false"/>
          </w:tcPr>
          <w:p>
            <w:pPr>
              <w:jc w:val="center"/>
              <w:rPr>
                <w:rFonts w:ascii="仿宋" w:hAnsi="仿宋" w:eastAsia="仿宋"/>
                <w:b/>
                <w:color w:val="auto"/>
                <w:szCs w:val="21"/>
                <w:highlight w:val="none"/>
              </w:rPr>
            </w:pPr>
            <w:r>
              <w:rPr>
                <w:rFonts w:hint="eastAsia" w:ascii="仿宋" w:hAnsi="仿宋" w:eastAsia="仿宋"/>
                <w:b/>
                <w:color w:val="auto"/>
                <w:szCs w:val="21"/>
                <w:highlight w:val="none"/>
              </w:rPr>
              <w:t xml:space="preserve">投标单价</w:t>
            </w:r>
            <w:r/>
          </w:p>
        </w:tc>
        <w:tc>
          <w:tcPr>
            <w:tcW w:w="546" w:type="pct"/>
            <w:vAlign w:val="center"/>
            <w:textDirection w:val="lrTb"/>
            <w:noWrap w:val="false"/>
          </w:tcPr>
          <w:p>
            <w:pPr>
              <w:jc w:val="center"/>
              <w:rPr>
                <w:rFonts w:ascii="仿宋" w:hAnsi="仿宋" w:eastAsia="仿宋"/>
                <w:b/>
                <w:color w:val="auto"/>
                <w:szCs w:val="21"/>
                <w:highlight w:val="none"/>
              </w:rPr>
            </w:pPr>
            <w:r>
              <w:rPr>
                <w:rFonts w:hint="eastAsia" w:ascii="仿宋" w:hAnsi="仿宋" w:eastAsia="仿宋"/>
                <w:b/>
                <w:color w:val="auto"/>
                <w:szCs w:val="21"/>
                <w:highlight w:val="none"/>
              </w:rPr>
              <w:t xml:space="preserve">备注</w:t>
            </w:r>
            <w:r/>
          </w:p>
        </w:tc>
      </w:tr>
      <w:tr>
        <w:trPr>
          <w:jc w:val="center"/>
          <w:trHeight w:val="312"/>
        </w:trPr>
        <w:tc>
          <w:tcPr>
            <w:tcW w:w="306"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146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生物防护草皮养护</w:t>
            </w:r>
            <w:r/>
          </w:p>
        </w:tc>
        <w:tc>
          <w:tcPr>
            <w:tcW w:w="842"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m2</w:t>
            </w:r>
            <w:r/>
          </w:p>
        </w:tc>
        <w:tc>
          <w:tcPr>
            <w:tcW w:w="91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663000</w:t>
            </w:r>
            <w:r/>
          </w:p>
        </w:tc>
        <w:tc>
          <w:tcPr>
            <w:tcW w:w="918" w:type="pct"/>
            <w:textDirection w:val="lrTb"/>
            <w:noWrap w:val="false"/>
          </w:tcPr>
          <w:p>
            <w:pPr>
              <w:jc w:val="center"/>
              <w:rPr>
                <w:rFonts w:ascii="仿宋" w:hAnsi="仿宋" w:eastAsia="仿宋"/>
                <w:color w:val="auto"/>
                <w:szCs w:val="21"/>
                <w:highlight w:val="none"/>
              </w:rPr>
            </w:pPr>
            <w:r>
              <w:rPr>
                <w:rFonts w:ascii="仿宋" w:hAnsi="仿宋" w:eastAsia="仿宋"/>
                <w:color w:val="auto"/>
                <w:szCs w:val="21"/>
                <w:highlight w:val="none"/>
              </w:rPr>
            </w:r>
            <w:r/>
          </w:p>
        </w:tc>
        <w:tc>
          <w:tcPr>
            <w:tcW w:w="546" w:type="pct"/>
            <w:vAlign w:val="center"/>
            <w:vMerge w:val="restart"/>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详细内容及要求见“四、养护工作要求”</w:t>
            </w:r>
            <w:r/>
          </w:p>
        </w:tc>
      </w:tr>
      <w:tr>
        <w:trPr>
          <w:jc w:val="center"/>
          <w:trHeight w:val="312" w:hRule="exact"/>
        </w:trPr>
        <w:tc>
          <w:tcPr>
            <w:tcW w:w="306"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146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杂树灌木修整</w:t>
            </w:r>
            <w:r/>
          </w:p>
        </w:tc>
        <w:tc>
          <w:tcPr>
            <w:tcW w:w="842"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m2</w:t>
            </w:r>
            <w:r/>
          </w:p>
        </w:tc>
        <w:tc>
          <w:tcPr>
            <w:tcW w:w="91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16000</w:t>
            </w:r>
            <w:r/>
          </w:p>
        </w:tc>
        <w:tc>
          <w:tcPr>
            <w:tcW w:w="918"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46"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06"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3</w:t>
            </w:r>
            <w:r/>
          </w:p>
        </w:tc>
        <w:tc>
          <w:tcPr>
            <w:tcW w:w="146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环境保洁</w:t>
            </w:r>
            <w:r/>
          </w:p>
        </w:tc>
        <w:tc>
          <w:tcPr>
            <w:tcW w:w="842"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m2</w:t>
            </w:r>
            <w:r/>
          </w:p>
        </w:tc>
        <w:tc>
          <w:tcPr>
            <w:tcW w:w="91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932482</w:t>
            </w:r>
            <w:r/>
          </w:p>
        </w:tc>
        <w:tc>
          <w:tcPr>
            <w:tcW w:w="918"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46"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06"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4</w:t>
            </w:r>
            <w:r/>
          </w:p>
        </w:tc>
        <w:tc>
          <w:tcPr>
            <w:tcW w:w="146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砼护坡坡面养护</w:t>
            </w:r>
            <w:r/>
          </w:p>
        </w:tc>
        <w:tc>
          <w:tcPr>
            <w:tcW w:w="842"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m2</w:t>
            </w:r>
            <w:r/>
          </w:p>
        </w:tc>
        <w:tc>
          <w:tcPr>
            <w:tcW w:w="91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120800</w:t>
            </w:r>
            <w:r/>
          </w:p>
        </w:tc>
        <w:tc>
          <w:tcPr>
            <w:tcW w:w="918"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46"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06"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5</w:t>
            </w:r>
            <w:r/>
          </w:p>
        </w:tc>
        <w:tc>
          <w:tcPr>
            <w:tcW w:w="146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排水沟养护</w:t>
            </w:r>
            <w:r/>
          </w:p>
        </w:tc>
        <w:tc>
          <w:tcPr>
            <w:tcW w:w="842"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m</w:t>
            </w:r>
            <w:r/>
          </w:p>
        </w:tc>
        <w:tc>
          <w:tcPr>
            <w:tcW w:w="91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14240</w:t>
            </w:r>
            <w:r/>
          </w:p>
        </w:tc>
        <w:tc>
          <w:tcPr>
            <w:tcW w:w="918"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46"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06"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6</w:t>
            </w:r>
            <w:r/>
          </w:p>
        </w:tc>
        <w:tc>
          <w:tcPr>
            <w:tcW w:w="146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巡查便道养护</w:t>
            </w:r>
            <w:r/>
          </w:p>
        </w:tc>
        <w:tc>
          <w:tcPr>
            <w:tcW w:w="842"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m</w:t>
            </w:r>
            <w:r/>
          </w:p>
        </w:tc>
        <w:tc>
          <w:tcPr>
            <w:tcW w:w="91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9500</w:t>
            </w:r>
            <w:r/>
          </w:p>
        </w:tc>
        <w:tc>
          <w:tcPr>
            <w:tcW w:w="918"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46"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06"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7</w:t>
            </w:r>
            <w:r/>
          </w:p>
        </w:tc>
        <w:tc>
          <w:tcPr>
            <w:tcW w:w="146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标志标牌养护</w:t>
            </w:r>
            <w:r/>
          </w:p>
        </w:tc>
        <w:tc>
          <w:tcPr>
            <w:tcW w:w="842"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块</w:t>
            </w:r>
            <w:r/>
          </w:p>
        </w:tc>
        <w:tc>
          <w:tcPr>
            <w:tcW w:w="91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266</w:t>
            </w:r>
            <w:r/>
          </w:p>
        </w:tc>
        <w:tc>
          <w:tcPr>
            <w:tcW w:w="918"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46"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06"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8</w:t>
            </w:r>
            <w:r/>
          </w:p>
        </w:tc>
        <w:tc>
          <w:tcPr>
            <w:tcW w:w="146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界碑界牌里程桩养护</w:t>
            </w:r>
            <w:r/>
          </w:p>
        </w:tc>
        <w:tc>
          <w:tcPr>
            <w:tcW w:w="842"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块</w:t>
            </w:r>
            <w:r/>
          </w:p>
        </w:tc>
        <w:tc>
          <w:tcPr>
            <w:tcW w:w="91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480</w:t>
            </w:r>
            <w:r/>
          </w:p>
        </w:tc>
        <w:tc>
          <w:tcPr>
            <w:tcW w:w="918"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46"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06"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9</w:t>
            </w:r>
            <w:r/>
          </w:p>
        </w:tc>
        <w:tc>
          <w:tcPr>
            <w:tcW w:w="146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限高杆、限宽墩、限行标志养护</w:t>
            </w:r>
            <w:r/>
          </w:p>
        </w:tc>
        <w:tc>
          <w:tcPr>
            <w:tcW w:w="842"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个</w:t>
            </w:r>
            <w:r/>
          </w:p>
        </w:tc>
        <w:tc>
          <w:tcPr>
            <w:tcW w:w="919" w:type="pct"/>
            <w:vAlign w:val="center"/>
            <w:textDirection w:val="lrTb"/>
            <w:noWrap w:val="false"/>
          </w:tcPr>
          <w:p>
            <w:pPr>
              <w:jc w:val="center"/>
              <w:rPr>
                <w:rFonts w:ascii="仿宋" w:hAnsi="仿宋" w:eastAsia="仿宋"/>
                <w:b/>
                <w:color w:val="auto"/>
                <w:szCs w:val="21"/>
                <w:highlight w:val="none"/>
              </w:rPr>
            </w:pPr>
            <w:r>
              <w:rPr>
                <w:rFonts w:hint="eastAsia" w:ascii="仿宋" w:hAnsi="仿宋" w:eastAsia="仿宋"/>
                <w:color w:val="auto"/>
                <w:szCs w:val="21"/>
                <w:highlight w:val="none"/>
              </w:rPr>
              <w:t xml:space="preserve">5</w:t>
            </w:r>
            <w:r/>
          </w:p>
        </w:tc>
        <w:tc>
          <w:tcPr>
            <w:tcW w:w="918"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46"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06"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10</w:t>
            </w:r>
            <w:r/>
          </w:p>
        </w:tc>
        <w:tc>
          <w:tcPr>
            <w:tcW w:w="146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升降桩</w:t>
            </w:r>
            <w:r/>
          </w:p>
        </w:tc>
        <w:tc>
          <w:tcPr>
            <w:tcW w:w="842"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处</w:t>
            </w:r>
            <w:r/>
          </w:p>
        </w:tc>
        <w:tc>
          <w:tcPr>
            <w:tcW w:w="91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10</w:t>
            </w:r>
            <w:r/>
          </w:p>
        </w:tc>
        <w:tc>
          <w:tcPr>
            <w:tcW w:w="918"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46"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06"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11</w:t>
            </w:r>
            <w:r/>
          </w:p>
        </w:tc>
        <w:tc>
          <w:tcPr>
            <w:tcW w:w="146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汛后亲水平台淤泥清理</w:t>
            </w:r>
            <w:r/>
          </w:p>
        </w:tc>
        <w:tc>
          <w:tcPr>
            <w:tcW w:w="842"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m2</w:t>
            </w:r>
            <w:r/>
          </w:p>
        </w:tc>
        <w:tc>
          <w:tcPr>
            <w:tcW w:w="91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12000</w:t>
            </w:r>
            <w:r/>
          </w:p>
        </w:tc>
        <w:tc>
          <w:tcPr>
            <w:tcW w:w="918"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46"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06"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12</w:t>
            </w:r>
            <w:r/>
          </w:p>
        </w:tc>
        <w:tc>
          <w:tcPr>
            <w:tcW w:w="146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亲水平台步行道芦苇荡清理</w:t>
            </w:r>
            <w:r/>
          </w:p>
        </w:tc>
        <w:tc>
          <w:tcPr>
            <w:tcW w:w="842"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m2</w:t>
            </w:r>
            <w:r/>
          </w:p>
        </w:tc>
        <w:tc>
          <w:tcPr>
            <w:tcW w:w="91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2200</w:t>
            </w:r>
            <w:r/>
          </w:p>
        </w:tc>
        <w:tc>
          <w:tcPr>
            <w:tcW w:w="918"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46"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bl>
    <w:p>
      <w:pPr>
        <w:jc w:val="left"/>
        <w:spacing w:line="360" w:lineRule="exact"/>
        <w:rPr>
          <w:rFonts w:ascii="宋体" w:hAnsi="宋体"/>
          <w:b/>
          <w:color w:val="auto"/>
          <w:szCs w:val="21"/>
          <w:highlight w:val="none"/>
        </w:rPr>
      </w:pPr>
      <w:r>
        <w:rPr>
          <w:rFonts w:hint="eastAsia" w:ascii="宋体" w:hAnsi="宋体"/>
          <w:b/>
          <w:color w:val="auto"/>
          <w:szCs w:val="21"/>
          <w:highlight w:val="none"/>
        </w:rPr>
        <w:t xml:space="preserve">表四：铁投段苗木精细化养护及堤顶道路实施清单</w:t>
      </w:r>
      <w:r/>
    </w:p>
    <w:tbl>
      <w:tblPr>
        <w:tblStyle w:val="885"/>
        <w:tblW w:w="51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15"/>
        <w:gridCol w:w="4337"/>
        <w:gridCol w:w="3071"/>
      </w:tblGrid>
      <w:tr>
        <w:trPr>
          <w:jc w:val="center"/>
          <w:trHeight w:val="436" w:hRule="exact"/>
        </w:trPr>
        <w:tc>
          <w:tcPr>
            <w:tcW w:w="1341"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序号</w:t>
            </w:r>
            <w:r/>
          </w:p>
        </w:tc>
        <w:tc>
          <w:tcPr>
            <w:tcW w:w="2142"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名 称</w:t>
            </w:r>
            <w:r/>
          </w:p>
        </w:tc>
        <w:tc>
          <w:tcPr>
            <w:tcW w:w="1517" w:type="pct"/>
            <w:vAlign w:val="center"/>
            <w:textDirection w:val="lrTb"/>
            <w:noWrap w:val="false"/>
          </w:tcPr>
          <w:p>
            <w:pPr>
              <w:jc w:val="center"/>
              <w:rPr>
                <w:rFonts w:ascii="宋体" w:hAnsi="宋体"/>
                <w:b/>
                <w:color w:val="auto"/>
                <w:szCs w:val="21"/>
                <w:highlight w:val="none"/>
              </w:rPr>
            </w:pPr>
            <w:r>
              <w:rPr>
                <w:rFonts w:ascii="宋体" w:hAnsi="宋体"/>
                <w:b/>
                <w:color w:val="auto"/>
                <w:szCs w:val="21"/>
                <w:highlight w:val="none"/>
              </w:rPr>
              <w:t xml:space="preserve">养护标准</w:t>
            </w:r>
            <w:r/>
          </w:p>
        </w:tc>
      </w:tr>
      <w:tr>
        <w:trPr>
          <w:jc w:val="center"/>
          <w:trHeight w:val="4068"/>
        </w:trPr>
        <w:tc>
          <w:tcPr>
            <w:tcW w:w="1341"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2142" w:type="pct"/>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火焰南天竹：39.6平方</w:t>
            </w:r>
            <w:r/>
          </w:p>
          <w:p>
            <w:pPr>
              <w:jc w:val="left"/>
              <w:rPr>
                <w:rFonts w:ascii="宋体" w:hAnsi="宋体"/>
                <w:color w:val="auto"/>
                <w:szCs w:val="21"/>
                <w:highlight w:val="none"/>
              </w:rPr>
            </w:pPr>
            <w:r>
              <w:rPr>
                <w:rFonts w:hint="eastAsia" w:ascii="宋体" w:hAnsi="宋体"/>
                <w:color w:val="auto"/>
                <w:szCs w:val="21"/>
                <w:highlight w:val="none"/>
              </w:rPr>
              <w:t xml:space="preserve">大吴风草：130.8平方</w:t>
            </w:r>
            <w:r/>
          </w:p>
          <w:p>
            <w:pPr>
              <w:jc w:val="left"/>
              <w:rPr>
                <w:rFonts w:ascii="宋体" w:hAnsi="宋体"/>
                <w:color w:val="auto"/>
                <w:szCs w:val="21"/>
                <w:highlight w:val="none"/>
              </w:rPr>
            </w:pPr>
            <w:r>
              <w:rPr>
                <w:rFonts w:hint="eastAsia" w:ascii="宋体" w:hAnsi="宋体"/>
                <w:color w:val="auto"/>
                <w:szCs w:val="21"/>
                <w:highlight w:val="none"/>
              </w:rPr>
              <w:t xml:space="preserve">花叶络石：116.8平方</w:t>
            </w:r>
            <w:r/>
          </w:p>
          <w:p>
            <w:pPr>
              <w:jc w:val="left"/>
              <w:rPr>
                <w:rFonts w:ascii="宋体" w:hAnsi="宋体"/>
                <w:color w:val="auto"/>
                <w:szCs w:val="21"/>
                <w:highlight w:val="none"/>
              </w:rPr>
            </w:pPr>
            <w:r>
              <w:rPr>
                <w:rFonts w:hint="eastAsia" w:ascii="宋体" w:hAnsi="宋体"/>
                <w:color w:val="auto"/>
                <w:szCs w:val="21"/>
                <w:highlight w:val="none"/>
              </w:rPr>
              <w:t xml:space="preserve">二月兰+细叶麦冬：1269.6平方</w:t>
            </w:r>
            <w:r/>
          </w:p>
          <w:p>
            <w:pPr>
              <w:jc w:val="left"/>
              <w:rPr>
                <w:rFonts w:ascii="宋体" w:hAnsi="宋体"/>
                <w:color w:val="auto"/>
                <w:szCs w:val="21"/>
                <w:highlight w:val="none"/>
              </w:rPr>
            </w:pPr>
            <w:r>
              <w:rPr>
                <w:rFonts w:hint="eastAsia" w:ascii="宋体" w:hAnsi="宋体"/>
                <w:color w:val="auto"/>
                <w:szCs w:val="21"/>
                <w:highlight w:val="none"/>
              </w:rPr>
              <w:t xml:space="preserve">蔓长春：390平方</w:t>
            </w:r>
            <w:r/>
          </w:p>
          <w:p>
            <w:pPr>
              <w:jc w:val="left"/>
              <w:rPr>
                <w:rFonts w:ascii="宋体" w:hAnsi="宋体"/>
                <w:color w:val="auto"/>
                <w:szCs w:val="21"/>
                <w:highlight w:val="none"/>
              </w:rPr>
            </w:pPr>
            <w:r>
              <w:rPr>
                <w:rFonts w:hint="eastAsia" w:ascii="宋体" w:hAnsi="宋体"/>
                <w:color w:val="auto"/>
                <w:szCs w:val="21"/>
                <w:highlight w:val="none"/>
              </w:rPr>
              <w:t xml:space="preserve">金丝苔草：99.6平方</w:t>
            </w:r>
            <w:r/>
          </w:p>
          <w:p>
            <w:pPr>
              <w:jc w:val="left"/>
              <w:rPr>
                <w:rFonts w:ascii="宋体" w:hAnsi="宋体"/>
                <w:color w:val="auto"/>
                <w:szCs w:val="21"/>
                <w:highlight w:val="none"/>
              </w:rPr>
            </w:pPr>
            <w:r>
              <w:rPr>
                <w:rFonts w:hint="eastAsia" w:ascii="宋体" w:hAnsi="宋体"/>
                <w:color w:val="auto"/>
                <w:szCs w:val="21"/>
                <w:highlight w:val="none"/>
              </w:rPr>
              <w:t xml:space="preserve">草坪：1297.66平方</w:t>
            </w:r>
            <w:r/>
          </w:p>
          <w:p>
            <w:pPr>
              <w:jc w:val="left"/>
              <w:rPr>
                <w:rFonts w:ascii="宋体" w:hAnsi="宋体"/>
                <w:color w:val="auto"/>
                <w:szCs w:val="21"/>
                <w:highlight w:val="none"/>
              </w:rPr>
            </w:pPr>
            <w:r>
              <w:rPr>
                <w:rFonts w:hint="eastAsia" w:ascii="宋体" w:hAnsi="宋体"/>
                <w:color w:val="auto"/>
                <w:szCs w:val="21"/>
                <w:highlight w:val="none"/>
              </w:rPr>
              <w:t xml:space="preserve">堤顶路面积：3300平方</w:t>
            </w:r>
            <w:r/>
          </w:p>
        </w:tc>
        <w:tc>
          <w:tcPr>
            <w:tcW w:w="1517" w:type="pct"/>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p>
            <w:pPr>
              <w:jc w:val="left"/>
              <w:widowControl/>
              <w:rPr>
                <w:rFonts w:ascii="宋体" w:hAnsi="宋体"/>
                <w:color w:val="auto"/>
                <w:szCs w:val="21"/>
                <w:highlight w:val="none"/>
              </w:rPr>
            </w:pPr>
            <w:r>
              <w:rPr>
                <w:rFonts w:hint="eastAsia" w:ascii="宋体" w:hAnsi="宋体"/>
                <w:color w:val="auto"/>
                <w:szCs w:val="21"/>
                <w:highlight w:val="none"/>
              </w:rPr>
              <w:t xml:space="preserve">1、乔灌木存活率不得低于95%。</w:t>
            </w:r>
            <w:r/>
          </w:p>
          <w:p>
            <w:pPr>
              <w:jc w:val="left"/>
              <w:widowControl/>
              <w:rPr>
                <w:rFonts w:ascii="宋体" w:hAnsi="宋体"/>
                <w:color w:val="auto"/>
                <w:szCs w:val="21"/>
                <w:highlight w:val="none"/>
              </w:rPr>
            </w:pPr>
            <w:r>
              <w:rPr>
                <w:rFonts w:hint="eastAsia" w:ascii="宋体" w:hAnsi="宋体"/>
                <w:color w:val="auto"/>
                <w:szCs w:val="21"/>
                <w:highlight w:val="none"/>
              </w:rPr>
              <w:t xml:space="preserve">2、植株生长旺盛，枝叶强健,散布平均，造型雅观。</w:t>
            </w:r>
            <w:r/>
          </w:p>
          <w:p>
            <w:pPr>
              <w:jc w:val="left"/>
              <w:widowControl/>
              <w:rPr>
                <w:rFonts w:ascii="宋体" w:hAnsi="宋体"/>
                <w:color w:val="auto"/>
                <w:szCs w:val="21"/>
                <w:highlight w:val="none"/>
              </w:rPr>
            </w:pPr>
            <w:r>
              <w:rPr>
                <w:rFonts w:hint="eastAsia" w:ascii="宋体" w:hAnsi="宋体"/>
                <w:color w:val="auto"/>
                <w:szCs w:val="21"/>
                <w:highlight w:val="none"/>
              </w:rPr>
              <w:t xml:space="preserve">3．无枯枝残叶，树枝散布平均，疏密度合宜，整形与环境要求统一协调。</w:t>
            </w:r>
            <w:r/>
          </w:p>
          <w:p>
            <w:pPr>
              <w:jc w:val="left"/>
              <w:widowControl/>
              <w:rPr>
                <w:rFonts w:ascii="宋体" w:hAnsi="宋体"/>
                <w:color w:val="auto"/>
                <w:szCs w:val="21"/>
                <w:highlight w:val="none"/>
              </w:rPr>
            </w:pPr>
            <w:r>
              <w:rPr>
                <w:rFonts w:hint="eastAsia" w:ascii="宋体" w:hAnsi="宋体"/>
                <w:color w:val="auto"/>
                <w:szCs w:val="21"/>
                <w:highlight w:val="none"/>
              </w:rPr>
              <w:t xml:space="preserve">4.无显然病虫危害迹象。</w:t>
            </w:r>
            <w:r/>
          </w:p>
          <w:p>
            <w:pPr>
              <w:jc w:val="left"/>
              <w:widowControl/>
              <w:rPr>
                <w:rFonts w:ascii="宋体" w:hAnsi="宋体"/>
                <w:color w:val="auto"/>
                <w:szCs w:val="21"/>
                <w:highlight w:val="none"/>
              </w:rPr>
            </w:pPr>
            <w:r>
              <w:rPr>
                <w:rFonts w:hint="eastAsia" w:ascii="宋体" w:hAnsi="宋体"/>
                <w:color w:val="auto"/>
                <w:szCs w:val="21"/>
                <w:highlight w:val="none"/>
              </w:rPr>
              <w:t xml:space="preserve">5.植株下无杂草、杂物。</w:t>
            </w:r>
            <w:r/>
          </w:p>
          <w:p>
            <w:pPr>
              <w:jc w:val="left"/>
              <w:widowControl/>
              <w:rPr>
                <w:rFonts w:ascii="宋体" w:hAnsi="宋体"/>
                <w:color w:val="auto"/>
                <w:szCs w:val="21"/>
                <w:highlight w:val="none"/>
              </w:rPr>
            </w:pPr>
            <w:r>
              <w:rPr>
                <w:rFonts w:hint="eastAsia" w:ascii="宋体" w:hAnsi="宋体"/>
                <w:color w:val="auto"/>
                <w:szCs w:val="21"/>
                <w:highlight w:val="none"/>
              </w:rPr>
              <w:t xml:space="preserve">6.堤顶道路零星维修及保洁。</w:t>
            </w:r>
            <w:r/>
          </w:p>
          <w:p>
            <w:pPr>
              <w:jc w:val="left"/>
              <w:widowControl/>
              <w:rPr>
                <w:rFonts w:ascii="宋体" w:hAnsi="宋体"/>
                <w:color w:val="auto"/>
                <w:szCs w:val="21"/>
                <w:highlight w:val="none"/>
              </w:rPr>
            </w:pPr>
            <w:r>
              <w:rPr>
                <w:rFonts w:ascii="宋体" w:hAnsi="宋体"/>
                <w:color w:val="auto"/>
                <w:szCs w:val="21"/>
                <w:highlight w:val="none"/>
              </w:rPr>
            </w:r>
            <w:r/>
          </w:p>
          <w:p>
            <w:pPr>
              <w:jc w:val="left"/>
              <w:widowControl/>
              <w:rPr>
                <w:rFonts w:ascii="宋体" w:hAnsi="宋体"/>
                <w:color w:val="auto"/>
                <w:szCs w:val="21"/>
                <w:highlight w:val="none"/>
              </w:rPr>
            </w:pPr>
            <w:r>
              <w:rPr>
                <w:rFonts w:ascii="宋体" w:hAnsi="宋体"/>
                <w:color w:val="auto"/>
                <w:szCs w:val="21"/>
                <w:highlight w:val="none"/>
              </w:rPr>
            </w:r>
            <w:r/>
          </w:p>
          <w:p>
            <w:pPr>
              <w:jc w:val="left"/>
              <w:widowControl/>
              <w:rPr>
                <w:rFonts w:ascii="宋体" w:hAnsi="宋体"/>
                <w:color w:val="auto"/>
                <w:szCs w:val="21"/>
                <w:highlight w:val="none"/>
              </w:rPr>
            </w:pPr>
            <w:r>
              <w:rPr>
                <w:rFonts w:ascii="宋体" w:hAnsi="宋体"/>
                <w:color w:val="auto"/>
                <w:szCs w:val="21"/>
                <w:highlight w:val="none"/>
              </w:rPr>
            </w:r>
            <w:r/>
          </w:p>
          <w:p>
            <w:pPr>
              <w:jc w:val="left"/>
              <w:widowControl/>
              <w:rPr>
                <w:rFonts w:ascii="宋体" w:hAnsi="宋体"/>
                <w:color w:val="auto"/>
                <w:szCs w:val="21"/>
                <w:highlight w:val="none"/>
              </w:rPr>
            </w:pPr>
            <w:r>
              <w:rPr>
                <w:rFonts w:ascii="宋体" w:hAnsi="宋体"/>
                <w:color w:val="auto"/>
                <w:szCs w:val="21"/>
                <w:highlight w:val="none"/>
              </w:rPr>
            </w:r>
            <w:r/>
          </w:p>
          <w:p>
            <w:pPr>
              <w:jc w:val="left"/>
              <w:widowControl/>
              <w:rPr>
                <w:rFonts w:ascii="宋体" w:hAnsi="宋体"/>
                <w:color w:val="auto"/>
                <w:szCs w:val="21"/>
                <w:highlight w:val="none"/>
              </w:rPr>
            </w:pPr>
            <w:r>
              <w:rPr>
                <w:rFonts w:ascii="宋体" w:hAnsi="宋体"/>
                <w:color w:val="auto"/>
                <w:szCs w:val="21"/>
                <w:highlight w:val="none"/>
              </w:rPr>
            </w:r>
            <w:r/>
          </w:p>
          <w:p>
            <w:pPr>
              <w:jc w:val="left"/>
              <w:widowControl/>
              <w:rPr>
                <w:rFonts w:ascii="宋体" w:hAnsi="宋体"/>
                <w:color w:val="auto"/>
                <w:szCs w:val="21"/>
                <w:highlight w:val="none"/>
              </w:rPr>
            </w:pPr>
            <w:r>
              <w:rPr>
                <w:rFonts w:ascii="宋体" w:hAnsi="宋体"/>
                <w:color w:val="auto"/>
                <w:szCs w:val="21"/>
                <w:highlight w:val="none"/>
              </w:rPr>
            </w:r>
            <w:r/>
          </w:p>
          <w:p>
            <w:pPr>
              <w:jc w:val="left"/>
              <w:rPr>
                <w:rFonts w:ascii="宋体" w:hAnsi="宋体"/>
                <w:color w:val="auto"/>
                <w:szCs w:val="21"/>
                <w:highlight w:val="none"/>
              </w:rPr>
            </w:pPr>
            <w:r>
              <w:rPr>
                <w:rFonts w:ascii="宋体" w:hAnsi="宋体"/>
                <w:color w:val="auto"/>
                <w:szCs w:val="21"/>
                <w:highlight w:val="none"/>
              </w:rPr>
            </w:r>
            <w:r/>
          </w:p>
        </w:tc>
      </w:tr>
    </w:tbl>
    <w:p>
      <w:pPr>
        <w:jc w:val="left"/>
        <w:spacing w:line="360" w:lineRule="exact"/>
        <w:rPr>
          <w:rFonts w:ascii="宋体" w:hAnsi="宋体"/>
          <w:b/>
          <w:color w:val="auto"/>
          <w:szCs w:val="21"/>
          <w:highlight w:val="none"/>
        </w:rPr>
      </w:pPr>
      <w:r>
        <w:rPr>
          <w:rFonts w:ascii="宋体" w:hAnsi="宋体"/>
          <w:b/>
          <w:color w:val="auto"/>
          <w:szCs w:val="21"/>
          <w:highlight w:val="none"/>
        </w:rPr>
      </w:r>
      <w:r/>
    </w:p>
    <w:p>
      <w:pPr>
        <w:rPr>
          <w:rFonts w:ascii="仿宋" w:hAnsi="仿宋" w:eastAsia="仿宋"/>
          <w:b/>
          <w:color w:val="auto"/>
          <w:szCs w:val="21"/>
          <w:highlight w:val="none"/>
        </w:rPr>
      </w:pPr>
      <w:r>
        <w:rPr>
          <w:rFonts w:ascii="仿宋" w:hAnsi="仿宋" w:eastAsia="仿宋"/>
          <w:b/>
          <w:color w:val="auto"/>
          <w:szCs w:val="21"/>
          <w:highlight w:val="none"/>
        </w:rPr>
      </w:r>
      <w:r/>
    </w:p>
    <w:p>
      <w:pPr>
        <w:rPr>
          <w:color w:val="auto"/>
          <w:szCs w:val="21"/>
          <w:highlight w:val="none"/>
        </w:rPr>
      </w:pPr>
      <w:r>
        <w:rPr>
          <w:rFonts w:hint="eastAsia" w:ascii="仿宋" w:hAnsi="仿宋" w:eastAsia="仿宋"/>
          <w:b/>
          <w:color w:val="auto"/>
          <w:szCs w:val="21"/>
          <w:highlight w:val="none"/>
        </w:rPr>
        <w:t xml:space="preserve">注：1、以上工程量均为估算工程量，供供应商参考，具体实际养护工程量以实际踏勘为准，每包均为总价包干。</w:t>
      </w:r>
      <w:r/>
    </w:p>
    <w:p>
      <w:pPr>
        <w:pStyle w:val="878"/>
        <w:rPr>
          <w:color w:val="auto"/>
          <w:sz w:val="21"/>
          <w:szCs w:val="21"/>
          <w:highlight w:val="none"/>
        </w:rPr>
      </w:pPr>
      <w:r>
        <w:rPr>
          <w:rFonts w:hint="eastAsia"/>
          <w:color w:val="auto"/>
          <w:sz w:val="21"/>
          <w:szCs w:val="21"/>
          <w:highlight w:val="none"/>
        </w:rPr>
        <w:t xml:space="preserve">□包三</w:t>
      </w:r>
      <w:r/>
    </w:p>
    <w:p>
      <w:pPr>
        <w:jc w:val="center"/>
        <w:spacing w:line="360" w:lineRule="auto"/>
        <w:rPr>
          <w:rFonts w:ascii="仿宋" w:hAnsi="仿宋" w:eastAsia="仿宋"/>
          <w:b/>
          <w:bCs/>
          <w:color w:val="auto"/>
          <w:szCs w:val="21"/>
          <w:highlight w:val="none"/>
        </w:rPr>
      </w:pPr>
      <w:r>
        <w:rPr>
          <w:rFonts w:hint="eastAsia" w:ascii="仿宋" w:hAnsi="仿宋" w:eastAsia="仿宋"/>
          <w:b/>
          <w:bCs/>
          <w:color w:val="auto"/>
          <w:szCs w:val="21"/>
          <w:highlight w:val="none"/>
        </w:rPr>
        <w:t xml:space="preserve">表一：人员要求表</w:t>
      </w:r>
      <w:r/>
    </w:p>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（要求供应商投入人员不低于下表要求）</w:t>
      </w:r>
      <w:r/>
    </w:p>
    <w:tbl>
      <w:tblPr>
        <w:tblStyle w:val="885"/>
        <w:tblW w:w="51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2770"/>
        <w:gridCol w:w="1812"/>
        <w:gridCol w:w="1818"/>
        <w:gridCol w:w="1816"/>
        <w:gridCol w:w="1207"/>
      </w:tblGrid>
      <w:tr>
        <w:trPr>
          <w:jc w:val="center"/>
          <w:trHeight w:val="664" w:hRule="exact"/>
        </w:trPr>
        <w:tc>
          <w:tcPr>
            <w:tcW w:w="387"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序号</w:t>
            </w:r>
            <w:r/>
          </w:p>
        </w:tc>
        <w:tc>
          <w:tcPr>
            <w:tcW w:w="1356"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名 称</w:t>
            </w:r>
            <w:r/>
          </w:p>
        </w:tc>
        <w:tc>
          <w:tcPr>
            <w:tcW w:w="887"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单位</w:t>
            </w:r>
            <w:r/>
          </w:p>
        </w:tc>
        <w:tc>
          <w:tcPr>
            <w:tcW w:w="890"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要求数量</w:t>
            </w:r>
            <w:r/>
          </w:p>
        </w:tc>
        <w:tc>
          <w:tcPr>
            <w:tcW w:w="889" w:type="pct"/>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投标响应数量（人）</w:t>
            </w:r>
            <w:r/>
          </w:p>
        </w:tc>
        <w:tc>
          <w:tcPr>
            <w:tcW w:w="591" w:type="pct"/>
            <w:vAlign w:val="center"/>
            <w:textDirection w:val="lrTb"/>
            <w:noWrap w:val="false"/>
          </w:tcPr>
          <w:p>
            <w:pPr>
              <w:jc w:val="center"/>
              <w:rPr>
                <w:rFonts w:ascii="仿宋" w:hAnsi="仿宋" w:eastAsia="仿宋"/>
                <w:b/>
                <w:bCs/>
                <w:color w:val="auto"/>
                <w:szCs w:val="21"/>
                <w:highlight w:val="none"/>
              </w:rPr>
            </w:pPr>
            <w:r>
              <w:rPr>
                <w:rFonts w:ascii="仿宋" w:hAnsi="仿宋" w:eastAsia="仿宋"/>
                <w:b/>
                <w:bCs/>
                <w:color w:val="auto"/>
                <w:szCs w:val="21"/>
                <w:highlight w:val="none"/>
              </w:rPr>
              <w:t xml:space="preserve">备注</w:t>
            </w:r>
            <w:r/>
          </w:p>
        </w:tc>
      </w:tr>
      <w:tr>
        <w:trPr>
          <w:jc w:val="center"/>
          <w:trHeight w:val="312"/>
        </w:trPr>
        <w:tc>
          <w:tcPr>
            <w:tcW w:w="3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1356"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管理人员（含项目负责人）</w:t>
            </w:r>
            <w:r/>
          </w:p>
        </w:tc>
        <w:tc>
          <w:tcPr>
            <w:tcW w:w="8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人</w:t>
            </w:r>
            <w:r/>
          </w:p>
        </w:tc>
        <w:tc>
          <w:tcPr>
            <w:tcW w:w="89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89" w:type="pct"/>
            <w:textDirection w:val="lrTb"/>
            <w:noWrap w:val="false"/>
          </w:tcPr>
          <w:p>
            <w:pPr>
              <w:jc w:val="center"/>
              <w:rPr>
                <w:rFonts w:ascii="仿宋" w:hAnsi="仿宋" w:eastAsia="仿宋"/>
                <w:color w:val="auto"/>
                <w:szCs w:val="21"/>
                <w:highlight w:val="none"/>
              </w:rPr>
            </w:pPr>
            <w:r>
              <w:rPr>
                <w:rFonts w:ascii="仿宋" w:hAnsi="仿宋" w:eastAsia="仿宋"/>
                <w:color w:val="auto"/>
                <w:szCs w:val="21"/>
                <w:highlight w:val="none"/>
              </w:rPr>
            </w:r>
            <w:r/>
          </w:p>
        </w:tc>
        <w:tc>
          <w:tcPr>
            <w:tcW w:w="591" w:type="pct"/>
            <w:vAlign w:val="center"/>
            <w:vMerge w:val="restart"/>
            <w:textDirection w:val="lrTb"/>
            <w:noWrap w:val="false"/>
          </w:tcPr>
          <w:p>
            <w:pPr>
              <w:jc w:val="center"/>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1356"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养护人员</w:t>
            </w:r>
            <w:r/>
          </w:p>
        </w:tc>
        <w:tc>
          <w:tcPr>
            <w:tcW w:w="8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人</w:t>
            </w:r>
            <w:r/>
          </w:p>
        </w:tc>
        <w:tc>
          <w:tcPr>
            <w:tcW w:w="89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17</w:t>
            </w:r>
            <w:r/>
          </w:p>
        </w:tc>
        <w:tc>
          <w:tcPr>
            <w:tcW w:w="0" w:type="auto"/>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91"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3</w:t>
            </w:r>
            <w:r/>
          </w:p>
        </w:tc>
        <w:tc>
          <w:tcPr>
            <w:tcW w:w="1356"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绿化工</w:t>
            </w:r>
            <w:r/>
          </w:p>
        </w:tc>
        <w:tc>
          <w:tcPr>
            <w:tcW w:w="8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人</w:t>
            </w:r>
            <w:r/>
          </w:p>
        </w:tc>
        <w:tc>
          <w:tcPr>
            <w:tcW w:w="89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0" w:type="auto"/>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91"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4</w:t>
            </w:r>
            <w:r/>
          </w:p>
        </w:tc>
        <w:tc>
          <w:tcPr>
            <w:tcW w:w="1356"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安全员</w:t>
            </w:r>
            <w:r/>
          </w:p>
        </w:tc>
        <w:tc>
          <w:tcPr>
            <w:tcW w:w="88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人</w:t>
            </w:r>
            <w:r/>
          </w:p>
        </w:tc>
        <w:tc>
          <w:tcPr>
            <w:tcW w:w="890"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0" w:type="auto"/>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91"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bl>
    <w:p>
      <w:pPr>
        <w:ind w:firstLine="420"/>
        <w:spacing w:line="44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仿宋" w:hAnsi="仿宋" w:eastAsia="仿宋"/>
          <w:b/>
          <w:bCs/>
          <w:color w:val="auto"/>
          <w:szCs w:val="21"/>
          <w:highlight w:val="none"/>
        </w:rPr>
      </w:pPr>
      <w:r>
        <w:rPr>
          <w:rFonts w:hint="eastAsia" w:ascii="仿宋" w:hAnsi="仿宋" w:eastAsia="仿宋"/>
          <w:b/>
          <w:bCs/>
          <w:color w:val="auto"/>
          <w:szCs w:val="21"/>
          <w:highlight w:val="none"/>
        </w:rPr>
        <w:t xml:space="preserve">表二：设备要求表</w:t>
      </w:r>
      <w:r/>
    </w:p>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（要求供应商投入设备不低于下表要求）</w:t>
      </w:r>
      <w:r/>
    </w:p>
    <w:tbl>
      <w:tblPr>
        <w:tblStyle w:val="885"/>
        <w:tblW w:w="50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2820"/>
        <w:gridCol w:w="1606"/>
        <w:gridCol w:w="2023"/>
        <w:gridCol w:w="1737"/>
        <w:gridCol w:w="1156"/>
      </w:tblGrid>
      <w:tr>
        <w:trPr>
          <w:jc w:val="center"/>
          <w:trHeight w:val="436" w:hRule="exact"/>
        </w:trPr>
        <w:tc>
          <w:tcPr>
            <w:tcW w:w="359"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序号</w:t>
            </w:r>
            <w:r/>
          </w:p>
        </w:tc>
        <w:tc>
          <w:tcPr>
            <w:tcW w:w="1401"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名 称</w:t>
            </w:r>
            <w:r/>
          </w:p>
        </w:tc>
        <w:tc>
          <w:tcPr>
            <w:tcW w:w="798"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单位</w:t>
            </w:r>
            <w:r/>
          </w:p>
        </w:tc>
        <w:tc>
          <w:tcPr>
            <w:tcW w:w="1005"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要求数量</w:t>
            </w:r>
            <w:r/>
          </w:p>
        </w:tc>
        <w:tc>
          <w:tcPr>
            <w:tcW w:w="863" w:type="pct"/>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投标响应数量</w:t>
            </w:r>
            <w:r/>
          </w:p>
        </w:tc>
        <w:tc>
          <w:tcPr>
            <w:tcW w:w="574" w:type="pct"/>
            <w:vAlign w:val="center"/>
            <w:textDirection w:val="lrTb"/>
            <w:noWrap w:val="false"/>
          </w:tcPr>
          <w:p>
            <w:pPr>
              <w:jc w:val="center"/>
              <w:rPr>
                <w:rFonts w:ascii="仿宋" w:hAnsi="仿宋" w:eastAsia="仿宋"/>
                <w:b/>
                <w:bCs/>
                <w:color w:val="auto"/>
                <w:szCs w:val="21"/>
                <w:highlight w:val="none"/>
              </w:rPr>
            </w:pPr>
            <w:r>
              <w:rPr>
                <w:rFonts w:hint="eastAsia" w:ascii="仿宋" w:hAnsi="仿宋" w:eastAsia="仿宋"/>
                <w:b/>
                <w:bCs/>
                <w:color w:val="auto"/>
                <w:szCs w:val="21"/>
                <w:highlight w:val="none"/>
              </w:rPr>
              <w:t xml:space="preserve">备注</w:t>
            </w:r>
            <w:r/>
          </w:p>
        </w:tc>
      </w:tr>
      <w:tr>
        <w:trPr>
          <w:jc w:val="center"/>
          <w:trHeight w:val="420" w:hRule="exact"/>
        </w:trPr>
        <w:tc>
          <w:tcPr>
            <w:tcW w:w="35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140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巡查车辆</w:t>
            </w:r>
            <w:r/>
          </w:p>
        </w:tc>
        <w:tc>
          <w:tcPr>
            <w:tcW w:w="7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辆</w:t>
            </w:r>
            <w:r/>
          </w:p>
        </w:tc>
        <w:tc>
          <w:tcPr>
            <w:tcW w:w="1005"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863"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74" w:type="pct"/>
            <w:vAlign w:val="center"/>
            <w:vMerge w:val="restar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5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140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运输车辆</w:t>
            </w:r>
            <w:r/>
          </w:p>
        </w:tc>
        <w:tc>
          <w:tcPr>
            <w:tcW w:w="7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辆</w:t>
            </w:r>
            <w:r/>
          </w:p>
        </w:tc>
        <w:tc>
          <w:tcPr>
            <w:tcW w:w="1005"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63"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74"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5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3</w:t>
            </w:r>
            <w:r/>
          </w:p>
        </w:tc>
        <w:tc>
          <w:tcPr>
            <w:tcW w:w="140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洒水车</w:t>
            </w:r>
            <w:r/>
          </w:p>
        </w:tc>
        <w:tc>
          <w:tcPr>
            <w:tcW w:w="7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辆</w:t>
            </w:r>
            <w:r/>
          </w:p>
        </w:tc>
        <w:tc>
          <w:tcPr>
            <w:tcW w:w="1005"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63"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74"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5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4</w:t>
            </w:r>
            <w:r/>
          </w:p>
        </w:tc>
        <w:tc>
          <w:tcPr>
            <w:tcW w:w="140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电动保洁三轮车</w:t>
            </w:r>
            <w:r/>
          </w:p>
        </w:tc>
        <w:tc>
          <w:tcPr>
            <w:tcW w:w="7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辆</w:t>
            </w:r>
            <w:r/>
          </w:p>
        </w:tc>
        <w:tc>
          <w:tcPr>
            <w:tcW w:w="1005"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4</w:t>
            </w:r>
            <w:r/>
          </w:p>
        </w:tc>
        <w:tc>
          <w:tcPr>
            <w:tcW w:w="863"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74"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5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5</w:t>
            </w:r>
            <w:r/>
          </w:p>
        </w:tc>
        <w:tc>
          <w:tcPr>
            <w:tcW w:w="140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摄像器材（含手机）</w:t>
            </w:r>
            <w:r/>
          </w:p>
        </w:tc>
        <w:tc>
          <w:tcPr>
            <w:tcW w:w="7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套</w:t>
            </w:r>
            <w:r/>
          </w:p>
        </w:tc>
        <w:tc>
          <w:tcPr>
            <w:tcW w:w="1005"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63"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74"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5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6</w:t>
            </w:r>
            <w:r/>
          </w:p>
        </w:tc>
        <w:tc>
          <w:tcPr>
            <w:tcW w:w="140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割灌机</w:t>
            </w:r>
            <w:r/>
          </w:p>
        </w:tc>
        <w:tc>
          <w:tcPr>
            <w:tcW w:w="7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台</w:t>
            </w:r>
            <w:r/>
          </w:p>
        </w:tc>
        <w:tc>
          <w:tcPr>
            <w:tcW w:w="1005"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8</w:t>
            </w:r>
            <w:r/>
          </w:p>
        </w:tc>
        <w:tc>
          <w:tcPr>
            <w:tcW w:w="863"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74"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5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7</w:t>
            </w:r>
            <w:r/>
          </w:p>
        </w:tc>
        <w:tc>
          <w:tcPr>
            <w:tcW w:w="140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吹风机</w:t>
            </w:r>
            <w:r/>
          </w:p>
        </w:tc>
        <w:tc>
          <w:tcPr>
            <w:tcW w:w="7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台</w:t>
            </w:r>
            <w:r/>
          </w:p>
        </w:tc>
        <w:tc>
          <w:tcPr>
            <w:tcW w:w="1005"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4</w:t>
            </w:r>
            <w:r/>
          </w:p>
        </w:tc>
        <w:tc>
          <w:tcPr>
            <w:tcW w:w="863"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74"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5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8</w:t>
            </w:r>
            <w:r/>
          </w:p>
        </w:tc>
        <w:tc>
          <w:tcPr>
            <w:tcW w:w="140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绿篱机</w:t>
            </w:r>
            <w:r/>
          </w:p>
        </w:tc>
        <w:tc>
          <w:tcPr>
            <w:tcW w:w="7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台</w:t>
            </w:r>
            <w:r/>
          </w:p>
        </w:tc>
        <w:tc>
          <w:tcPr>
            <w:tcW w:w="1005"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63"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74"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5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9</w:t>
            </w:r>
            <w:r/>
          </w:p>
        </w:tc>
        <w:tc>
          <w:tcPr>
            <w:tcW w:w="140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打药机</w:t>
            </w:r>
            <w:r/>
          </w:p>
        </w:tc>
        <w:tc>
          <w:tcPr>
            <w:tcW w:w="7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台</w:t>
            </w:r>
            <w:r/>
          </w:p>
        </w:tc>
        <w:tc>
          <w:tcPr>
            <w:tcW w:w="1005"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63"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74"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359"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10</w:t>
            </w:r>
            <w:r/>
          </w:p>
        </w:tc>
        <w:tc>
          <w:tcPr>
            <w:tcW w:w="140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油锯</w:t>
            </w:r>
            <w:r/>
          </w:p>
        </w:tc>
        <w:tc>
          <w:tcPr>
            <w:tcW w:w="7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套</w:t>
            </w:r>
            <w:r/>
          </w:p>
        </w:tc>
        <w:tc>
          <w:tcPr>
            <w:tcW w:w="1005"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863"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574"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bl>
    <w:p>
      <w:pPr>
        <w:pStyle w:val="878"/>
        <w:rPr>
          <w:color w:val="auto"/>
          <w:sz w:val="21"/>
          <w:szCs w:val="21"/>
          <w:highlight w:val="none"/>
        </w:rPr>
      </w:pPr>
      <w:r>
        <w:rPr>
          <w:color w:val="auto"/>
          <w:sz w:val="21"/>
          <w:szCs w:val="21"/>
          <w:highlight w:val="none"/>
        </w:rPr>
      </w:r>
      <w:r/>
    </w:p>
    <w:p>
      <w:pPr>
        <w:ind w:firstLine="420"/>
        <w:jc w:val="center"/>
        <w:spacing w:line="360" w:lineRule="auto"/>
        <w:rPr>
          <w:color w:val="auto"/>
          <w:szCs w:val="21"/>
          <w:highlight w:val="none"/>
        </w:rPr>
      </w:pPr>
      <w:r>
        <w:rPr>
          <w:color w:val="auto"/>
          <w:szCs w:val="21"/>
          <w:highlight w:val="none"/>
        </w:rPr>
      </w:r>
      <w:r/>
    </w:p>
    <w:p>
      <w:pPr>
        <w:ind w:firstLine="420"/>
        <w:jc w:val="center"/>
        <w:spacing w:line="360" w:lineRule="auto"/>
        <w:rPr>
          <w:color w:val="auto"/>
          <w:szCs w:val="21"/>
          <w:highlight w:val="none"/>
        </w:rPr>
      </w:pPr>
      <w:r>
        <w:rPr>
          <w:color w:val="auto"/>
          <w:szCs w:val="21"/>
          <w:highlight w:val="none"/>
        </w:rPr>
      </w:r>
      <w:r/>
    </w:p>
    <w:p>
      <w:pPr>
        <w:ind w:firstLine="422"/>
        <w:jc w:val="center"/>
        <w:spacing w:line="360" w:lineRule="auto"/>
        <w:rPr>
          <w:rFonts w:ascii="仿宋" w:hAnsi="仿宋" w:eastAsia="仿宋"/>
          <w:b/>
          <w:color w:val="auto"/>
          <w:szCs w:val="21"/>
          <w:highlight w:val="none"/>
        </w:rPr>
      </w:pPr>
      <w:r>
        <w:rPr>
          <w:rFonts w:hint="eastAsia" w:ascii="仿宋" w:hAnsi="仿宋" w:eastAsia="仿宋"/>
          <w:b/>
          <w:color w:val="auto"/>
          <w:szCs w:val="21"/>
          <w:highlight w:val="none"/>
        </w:rPr>
        <w:t xml:space="preserve">表三：工程量清单</w:t>
      </w:r>
      <w:r/>
    </w:p>
    <w:tbl>
      <w:tblPr>
        <w:tblStyle w:val="885"/>
        <w:tblW w:w="53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4"/>
        <w:gridCol w:w="2527"/>
        <w:gridCol w:w="1175"/>
        <w:gridCol w:w="2027"/>
        <w:gridCol w:w="1578"/>
        <w:gridCol w:w="2346"/>
      </w:tblGrid>
      <w:tr>
        <w:trPr>
          <w:jc w:val="center"/>
          <w:trHeight w:val="661" w:hRule="exact"/>
        </w:trPr>
        <w:tc>
          <w:tcPr>
            <w:tcW w:w="424" w:type="pct"/>
            <w:vAlign w:val="center"/>
            <w:textDirection w:val="lrTb"/>
            <w:noWrap w:val="false"/>
          </w:tcPr>
          <w:p>
            <w:pPr>
              <w:jc w:val="center"/>
              <w:rPr>
                <w:rFonts w:ascii="仿宋" w:hAnsi="仿宋" w:eastAsia="仿宋"/>
                <w:b/>
                <w:color w:val="auto"/>
                <w:szCs w:val="21"/>
                <w:highlight w:val="none"/>
              </w:rPr>
            </w:pPr>
            <w:r>
              <w:rPr>
                <w:rFonts w:hint="eastAsia" w:ascii="仿宋" w:hAnsi="仿宋" w:eastAsia="仿宋"/>
                <w:b/>
                <w:color w:val="auto"/>
                <w:szCs w:val="21"/>
                <w:highlight w:val="none"/>
              </w:rPr>
              <w:t xml:space="preserve">序号</w:t>
            </w:r>
            <w:r/>
          </w:p>
        </w:tc>
        <w:tc>
          <w:tcPr>
            <w:tcW w:w="1198" w:type="pct"/>
            <w:vAlign w:val="center"/>
            <w:textDirection w:val="lrTb"/>
            <w:noWrap w:val="false"/>
          </w:tcPr>
          <w:p>
            <w:pPr>
              <w:jc w:val="center"/>
              <w:rPr>
                <w:rFonts w:ascii="仿宋" w:hAnsi="仿宋" w:eastAsia="仿宋"/>
                <w:b/>
                <w:color w:val="auto"/>
                <w:szCs w:val="21"/>
                <w:highlight w:val="none"/>
              </w:rPr>
            </w:pPr>
            <w:r>
              <w:rPr>
                <w:rFonts w:hint="eastAsia" w:ascii="仿宋" w:hAnsi="仿宋" w:eastAsia="仿宋"/>
                <w:b/>
                <w:color w:val="auto"/>
                <w:szCs w:val="21"/>
                <w:highlight w:val="none"/>
              </w:rPr>
              <w:t xml:space="preserve">名 称</w:t>
            </w:r>
            <w:r/>
          </w:p>
        </w:tc>
        <w:tc>
          <w:tcPr>
            <w:tcW w:w="557" w:type="pct"/>
            <w:vAlign w:val="center"/>
            <w:textDirection w:val="lrTb"/>
            <w:noWrap w:val="false"/>
          </w:tcPr>
          <w:p>
            <w:pPr>
              <w:jc w:val="center"/>
              <w:rPr>
                <w:rFonts w:ascii="仿宋" w:hAnsi="仿宋" w:eastAsia="仿宋"/>
                <w:b/>
                <w:color w:val="auto"/>
                <w:szCs w:val="21"/>
                <w:highlight w:val="none"/>
              </w:rPr>
            </w:pPr>
            <w:r>
              <w:rPr>
                <w:rFonts w:hint="eastAsia" w:ascii="仿宋" w:hAnsi="仿宋" w:eastAsia="仿宋"/>
                <w:b/>
                <w:color w:val="auto"/>
                <w:szCs w:val="21"/>
                <w:highlight w:val="none"/>
              </w:rPr>
              <w:t xml:space="preserve">单位</w:t>
            </w:r>
            <w:r/>
          </w:p>
        </w:tc>
        <w:tc>
          <w:tcPr>
            <w:tcW w:w="961" w:type="pct"/>
            <w:vAlign w:val="center"/>
            <w:textDirection w:val="lrTb"/>
            <w:noWrap w:val="false"/>
          </w:tcPr>
          <w:p>
            <w:pPr>
              <w:jc w:val="center"/>
              <w:rPr>
                <w:rFonts w:ascii="仿宋" w:hAnsi="仿宋" w:eastAsia="仿宋"/>
                <w:b/>
                <w:color w:val="auto"/>
                <w:szCs w:val="21"/>
                <w:highlight w:val="none"/>
              </w:rPr>
            </w:pPr>
            <w:r>
              <w:rPr>
                <w:rFonts w:hint="eastAsia" w:ascii="仿宋" w:hAnsi="仿宋" w:eastAsia="仿宋"/>
                <w:b/>
                <w:color w:val="auto"/>
                <w:szCs w:val="21"/>
                <w:highlight w:val="none"/>
              </w:rPr>
              <w:t xml:space="preserve">工程量</w:t>
            </w:r>
            <w:r/>
          </w:p>
        </w:tc>
        <w:tc>
          <w:tcPr>
            <w:tcW w:w="748" w:type="pct"/>
            <w:vAlign w:val="center"/>
            <w:textDirection w:val="lrTb"/>
            <w:noWrap w:val="false"/>
          </w:tcPr>
          <w:p>
            <w:pPr>
              <w:ind w:firstLine="211"/>
              <w:rPr>
                <w:rFonts w:ascii="仿宋" w:hAnsi="仿宋" w:eastAsia="仿宋"/>
                <w:b/>
                <w:color w:val="auto"/>
                <w:szCs w:val="21"/>
                <w:highlight w:val="none"/>
              </w:rPr>
            </w:pPr>
            <w:r>
              <w:rPr>
                <w:rFonts w:hint="eastAsia" w:ascii="仿宋" w:hAnsi="仿宋" w:eastAsia="仿宋"/>
                <w:b/>
                <w:color w:val="auto"/>
                <w:szCs w:val="21"/>
                <w:highlight w:val="none"/>
              </w:rPr>
              <w:t xml:space="preserve">投标单价</w:t>
            </w:r>
            <w:r/>
          </w:p>
        </w:tc>
        <w:tc>
          <w:tcPr>
            <w:tcW w:w="1112" w:type="pct"/>
            <w:vAlign w:val="center"/>
            <w:textDirection w:val="lrTb"/>
            <w:noWrap w:val="false"/>
          </w:tcPr>
          <w:p>
            <w:pPr>
              <w:jc w:val="center"/>
              <w:rPr>
                <w:rFonts w:ascii="仿宋" w:hAnsi="仿宋" w:eastAsia="仿宋"/>
                <w:b/>
                <w:color w:val="auto"/>
                <w:szCs w:val="21"/>
                <w:highlight w:val="none"/>
              </w:rPr>
            </w:pPr>
            <w:r>
              <w:rPr>
                <w:rFonts w:hint="eastAsia" w:ascii="仿宋" w:hAnsi="仿宋" w:eastAsia="仿宋"/>
                <w:b/>
                <w:color w:val="auto"/>
                <w:szCs w:val="21"/>
                <w:highlight w:val="none"/>
              </w:rPr>
              <w:t xml:space="preserve">备注</w:t>
            </w:r>
            <w:r/>
          </w:p>
        </w:tc>
      </w:tr>
      <w:tr>
        <w:trPr>
          <w:jc w:val="center"/>
          <w:trHeight w:val="312"/>
        </w:trPr>
        <w:tc>
          <w:tcPr>
            <w:tcW w:w="42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11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生物防护草皮养护</w:t>
            </w:r>
            <w:r/>
          </w:p>
        </w:tc>
        <w:tc>
          <w:tcPr>
            <w:tcW w:w="55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m2</w:t>
            </w:r>
            <w:r/>
          </w:p>
        </w:tc>
        <w:tc>
          <w:tcPr>
            <w:tcW w:w="96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394500</w:t>
            </w:r>
            <w:r/>
          </w:p>
        </w:tc>
        <w:tc>
          <w:tcPr>
            <w:tcW w:w="748" w:type="pct"/>
            <w:textDirection w:val="lrTb"/>
            <w:noWrap w:val="false"/>
          </w:tcPr>
          <w:p>
            <w:pPr>
              <w:jc w:val="left"/>
              <w:rPr>
                <w:rFonts w:ascii="仿宋" w:hAnsi="仿宋" w:eastAsia="仿宋"/>
                <w:color w:val="auto"/>
                <w:szCs w:val="21"/>
                <w:highlight w:val="none"/>
              </w:rPr>
            </w:pPr>
            <w:r>
              <w:rPr>
                <w:rFonts w:ascii="仿宋" w:hAnsi="仿宋" w:eastAsia="仿宋"/>
                <w:color w:val="auto"/>
                <w:szCs w:val="21"/>
                <w:highlight w:val="none"/>
              </w:rPr>
            </w:r>
            <w:r/>
          </w:p>
        </w:tc>
        <w:tc>
          <w:tcPr>
            <w:tcW w:w="1112" w:type="pct"/>
            <w:vAlign w:val="center"/>
            <w:vMerge w:val="restart"/>
            <w:textDirection w:val="lrTb"/>
            <w:noWrap w:val="false"/>
          </w:tcPr>
          <w:p>
            <w:pPr>
              <w:jc w:val="left"/>
              <w:rPr>
                <w:rFonts w:ascii="仿宋" w:hAnsi="仿宋" w:eastAsia="仿宋"/>
                <w:color w:val="auto"/>
                <w:szCs w:val="21"/>
                <w:highlight w:val="none"/>
              </w:rPr>
            </w:pPr>
            <w:r>
              <w:rPr>
                <w:rFonts w:hint="eastAsia" w:ascii="仿宋" w:hAnsi="仿宋" w:eastAsia="仿宋"/>
                <w:color w:val="auto"/>
                <w:szCs w:val="21"/>
                <w:highlight w:val="none"/>
              </w:rPr>
              <w:t xml:space="preserve">1、秦淮河水法治文化广场养护维护工作内容及要求详见表四；</w:t>
            </w:r>
            <w:r/>
          </w:p>
          <w:p>
            <w:pPr>
              <w:jc w:val="left"/>
              <w:rPr>
                <w:rFonts w:ascii="仿宋" w:hAnsi="仿宋" w:eastAsia="仿宋"/>
                <w:color w:val="auto"/>
                <w:szCs w:val="21"/>
                <w:highlight w:val="none"/>
              </w:rPr>
            </w:pPr>
            <w:r>
              <w:rPr>
                <w:rFonts w:hint="eastAsia" w:ascii="仿宋" w:hAnsi="仿宋" w:eastAsia="仿宋"/>
                <w:color w:val="auto"/>
                <w:szCs w:val="21"/>
                <w:highlight w:val="none"/>
              </w:rPr>
              <w:t xml:space="preserve">2、其余未尽内容及要求详见见“四、养护工作要求”。</w:t>
            </w:r>
            <w:r/>
          </w:p>
        </w:tc>
      </w:tr>
      <w:tr>
        <w:trPr>
          <w:jc w:val="center"/>
          <w:trHeight w:val="312" w:hRule="exact"/>
        </w:trPr>
        <w:tc>
          <w:tcPr>
            <w:tcW w:w="42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w:t>
            </w:r>
            <w:r/>
          </w:p>
        </w:tc>
        <w:tc>
          <w:tcPr>
            <w:tcW w:w="11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杂树灌木修整</w:t>
            </w:r>
            <w:r/>
          </w:p>
        </w:tc>
        <w:tc>
          <w:tcPr>
            <w:tcW w:w="55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m2</w:t>
            </w:r>
            <w:r/>
          </w:p>
        </w:tc>
        <w:tc>
          <w:tcPr>
            <w:tcW w:w="96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12150</w:t>
            </w:r>
            <w:r/>
          </w:p>
        </w:tc>
        <w:tc>
          <w:tcPr>
            <w:tcW w:w="748"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1112"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42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3</w:t>
            </w:r>
            <w:r/>
          </w:p>
        </w:tc>
        <w:tc>
          <w:tcPr>
            <w:tcW w:w="11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环境保洁</w:t>
            </w:r>
            <w:r/>
          </w:p>
        </w:tc>
        <w:tc>
          <w:tcPr>
            <w:tcW w:w="55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m2</w:t>
            </w:r>
            <w:r/>
          </w:p>
        </w:tc>
        <w:tc>
          <w:tcPr>
            <w:tcW w:w="96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546750</w:t>
            </w:r>
            <w:r/>
          </w:p>
        </w:tc>
        <w:tc>
          <w:tcPr>
            <w:tcW w:w="748"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1112"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42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4</w:t>
            </w:r>
            <w:r/>
          </w:p>
        </w:tc>
        <w:tc>
          <w:tcPr>
            <w:tcW w:w="11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砼护坡坡面养护</w:t>
            </w:r>
            <w:r/>
          </w:p>
        </w:tc>
        <w:tc>
          <w:tcPr>
            <w:tcW w:w="55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m2</w:t>
            </w:r>
            <w:r/>
          </w:p>
        </w:tc>
        <w:tc>
          <w:tcPr>
            <w:tcW w:w="96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98400</w:t>
            </w:r>
            <w:r/>
          </w:p>
        </w:tc>
        <w:tc>
          <w:tcPr>
            <w:tcW w:w="748"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1112"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42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5</w:t>
            </w:r>
            <w:r/>
          </w:p>
        </w:tc>
        <w:tc>
          <w:tcPr>
            <w:tcW w:w="11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排水沟养护</w:t>
            </w:r>
            <w:r/>
          </w:p>
        </w:tc>
        <w:tc>
          <w:tcPr>
            <w:tcW w:w="55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m</w:t>
            </w:r>
            <w:r/>
          </w:p>
        </w:tc>
        <w:tc>
          <w:tcPr>
            <w:tcW w:w="96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1700</w:t>
            </w:r>
            <w:r/>
          </w:p>
        </w:tc>
        <w:tc>
          <w:tcPr>
            <w:tcW w:w="748"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1112"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42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6</w:t>
            </w:r>
            <w:r/>
          </w:p>
        </w:tc>
        <w:tc>
          <w:tcPr>
            <w:tcW w:w="11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巡查便道养护</w:t>
            </w:r>
            <w:r/>
          </w:p>
        </w:tc>
        <w:tc>
          <w:tcPr>
            <w:tcW w:w="55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m</w:t>
            </w:r>
            <w:r/>
          </w:p>
        </w:tc>
        <w:tc>
          <w:tcPr>
            <w:tcW w:w="96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12150</w:t>
            </w:r>
            <w:r/>
          </w:p>
        </w:tc>
        <w:tc>
          <w:tcPr>
            <w:tcW w:w="748"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1112"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42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7</w:t>
            </w:r>
            <w:r/>
          </w:p>
        </w:tc>
        <w:tc>
          <w:tcPr>
            <w:tcW w:w="11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标志标牌养护</w:t>
            </w:r>
            <w:r/>
          </w:p>
        </w:tc>
        <w:tc>
          <w:tcPr>
            <w:tcW w:w="55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块</w:t>
            </w:r>
            <w:r/>
          </w:p>
        </w:tc>
        <w:tc>
          <w:tcPr>
            <w:tcW w:w="96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226</w:t>
            </w:r>
            <w:r/>
          </w:p>
        </w:tc>
        <w:tc>
          <w:tcPr>
            <w:tcW w:w="748"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1112"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42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8</w:t>
            </w:r>
            <w:r/>
          </w:p>
        </w:tc>
        <w:tc>
          <w:tcPr>
            <w:tcW w:w="11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界碑界牌里程桩养护</w:t>
            </w:r>
            <w:r/>
          </w:p>
        </w:tc>
        <w:tc>
          <w:tcPr>
            <w:tcW w:w="55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块</w:t>
            </w:r>
            <w:r/>
          </w:p>
        </w:tc>
        <w:tc>
          <w:tcPr>
            <w:tcW w:w="96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265</w:t>
            </w:r>
            <w:r/>
          </w:p>
        </w:tc>
        <w:tc>
          <w:tcPr>
            <w:tcW w:w="748"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1112"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42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9</w:t>
            </w:r>
            <w:r/>
          </w:p>
        </w:tc>
        <w:tc>
          <w:tcPr>
            <w:tcW w:w="11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限高杆、限宽墩、限行标志养护</w:t>
            </w:r>
            <w:r/>
          </w:p>
        </w:tc>
        <w:tc>
          <w:tcPr>
            <w:tcW w:w="55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个</w:t>
            </w:r>
            <w:r/>
          </w:p>
        </w:tc>
        <w:tc>
          <w:tcPr>
            <w:tcW w:w="96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20</w:t>
            </w:r>
            <w:r/>
          </w:p>
        </w:tc>
        <w:tc>
          <w:tcPr>
            <w:tcW w:w="748"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1112"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42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10</w:t>
            </w:r>
            <w:r/>
          </w:p>
        </w:tc>
        <w:tc>
          <w:tcPr>
            <w:tcW w:w="11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升降桩</w:t>
            </w:r>
            <w:r/>
          </w:p>
        </w:tc>
        <w:tc>
          <w:tcPr>
            <w:tcW w:w="55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处</w:t>
            </w:r>
            <w:r/>
          </w:p>
        </w:tc>
        <w:tc>
          <w:tcPr>
            <w:tcW w:w="96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5</w:t>
            </w:r>
            <w:r/>
          </w:p>
        </w:tc>
        <w:tc>
          <w:tcPr>
            <w:tcW w:w="748"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1112"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42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11</w:t>
            </w:r>
            <w:r/>
          </w:p>
        </w:tc>
        <w:tc>
          <w:tcPr>
            <w:tcW w:w="11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汛后亲水平台淤泥清理</w:t>
            </w:r>
            <w:r/>
          </w:p>
        </w:tc>
        <w:tc>
          <w:tcPr>
            <w:tcW w:w="55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m2</w:t>
            </w:r>
            <w:r/>
          </w:p>
        </w:tc>
        <w:tc>
          <w:tcPr>
            <w:tcW w:w="96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3400</w:t>
            </w:r>
            <w:r/>
          </w:p>
        </w:tc>
        <w:tc>
          <w:tcPr>
            <w:tcW w:w="748"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1112"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42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12</w:t>
            </w:r>
            <w:r/>
          </w:p>
        </w:tc>
        <w:tc>
          <w:tcPr>
            <w:tcW w:w="11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亲水平台步行道芦苇荡清理</w:t>
            </w:r>
            <w:r/>
          </w:p>
        </w:tc>
        <w:tc>
          <w:tcPr>
            <w:tcW w:w="55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m2</w:t>
            </w:r>
            <w:r/>
          </w:p>
        </w:tc>
        <w:tc>
          <w:tcPr>
            <w:tcW w:w="96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12000</w:t>
            </w:r>
            <w:r/>
          </w:p>
        </w:tc>
        <w:tc>
          <w:tcPr>
            <w:tcW w:w="748"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1112"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12" w:hRule="exact"/>
        </w:trPr>
        <w:tc>
          <w:tcPr>
            <w:tcW w:w="424"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13</w:t>
            </w:r>
            <w:r/>
          </w:p>
        </w:tc>
        <w:tc>
          <w:tcPr>
            <w:tcW w:w="1198"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秦淮河水法治文化广场养护维护</w:t>
            </w:r>
            <w:r/>
          </w:p>
        </w:tc>
        <w:tc>
          <w:tcPr>
            <w:tcW w:w="557"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项</w:t>
            </w:r>
            <w:r/>
          </w:p>
        </w:tc>
        <w:tc>
          <w:tcPr>
            <w:tcW w:w="961" w:type="pct"/>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W w:w="748" w:type="pct"/>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c>
          <w:tcPr>
            <w:tcW w:w="1112" w:type="pct"/>
            <w:vAlign w:val="center"/>
            <w:vMerge w:val="continue"/>
            <w:textDirection w:val="lrTb"/>
            <w:noWrap w:val="false"/>
          </w:tcPr>
          <w:p>
            <w:pPr>
              <w:jc w:val="left"/>
              <w:widowControl/>
              <w:rPr>
                <w:rFonts w:ascii="仿宋" w:hAnsi="仿宋" w:eastAsia="仿宋"/>
                <w:color w:val="auto"/>
                <w:szCs w:val="21"/>
                <w:highlight w:val="none"/>
              </w:rPr>
            </w:pPr>
            <w:r>
              <w:rPr>
                <w:rFonts w:ascii="仿宋" w:hAnsi="仿宋" w:eastAsia="仿宋"/>
                <w:color w:val="auto"/>
                <w:szCs w:val="21"/>
                <w:highlight w:val="none"/>
              </w:rPr>
            </w:r>
            <w:r/>
          </w:p>
        </w:tc>
      </w:tr>
    </w:tbl>
    <w:p>
      <w:pPr>
        <w:ind w:firstLine="422"/>
        <w:jc w:val="center"/>
        <w:spacing w:line="360" w:lineRule="auto"/>
        <w:rPr>
          <w:rFonts w:ascii="仿宋" w:hAnsi="仿宋" w:eastAsia="仿宋"/>
          <w:b/>
          <w:color w:val="auto"/>
          <w:szCs w:val="21"/>
          <w:highlight w:val="none"/>
        </w:rPr>
      </w:pPr>
      <w:r>
        <w:rPr>
          <w:rFonts w:ascii="仿宋" w:hAnsi="仿宋" w:eastAsia="仿宋"/>
          <w:b/>
          <w:color w:val="auto"/>
          <w:szCs w:val="21"/>
          <w:highlight w:val="none"/>
        </w:rPr>
      </w:r>
      <w:r/>
    </w:p>
    <w:p>
      <w:pPr>
        <w:ind w:firstLine="422"/>
        <w:jc w:val="center"/>
        <w:spacing w:line="360" w:lineRule="auto"/>
        <w:rPr>
          <w:rFonts w:ascii="仿宋" w:hAnsi="仿宋" w:eastAsia="仿宋"/>
          <w:b/>
          <w:color w:val="auto"/>
          <w:szCs w:val="21"/>
          <w:highlight w:val="none"/>
        </w:rPr>
      </w:pPr>
      <w:r>
        <w:rPr>
          <w:rFonts w:hint="eastAsia" w:ascii="仿宋" w:hAnsi="仿宋" w:eastAsia="仿宋"/>
          <w:b/>
          <w:color w:val="auto"/>
          <w:szCs w:val="21"/>
          <w:highlight w:val="none"/>
        </w:rPr>
        <w:t xml:space="preserve">表四：秦淮河水法治文化广场养护维护主要工作量表</w:t>
      </w:r>
      <w:r/>
    </w:p>
    <w:tbl>
      <w:tblPr>
        <w:tblStyle w:val="885"/>
        <w:tblW w:w="9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5"/>
        <w:gridCol w:w="1299"/>
        <w:gridCol w:w="3771"/>
        <w:gridCol w:w="1401"/>
        <w:gridCol w:w="1041"/>
        <w:gridCol w:w="1134"/>
      </w:tblGrid>
      <w:tr>
        <w:trPr>
          <w:jc w:val="center"/>
          <w:trHeight w:val="397"/>
        </w:trPr>
        <w:tc>
          <w:tcPr>
            <w:tcMar>
              <w:left w:w="15" w:type="dxa"/>
              <w:top w:w="15" w:type="dxa"/>
              <w:right w:w="15" w:type="dxa"/>
              <w:bottom w:w="0" w:type="dxa"/>
            </w:tcMar>
            <w:tcW w:w="925" w:type="dxa"/>
            <w:vAlign w:val="center"/>
            <w:textDirection w:val="lrTb"/>
            <w:noWrap/>
          </w:tcPr>
          <w:p>
            <w:pPr>
              <w:jc w:val="center"/>
              <w:rPr>
                <w:rFonts w:ascii="宋体" w:hAnsi="宋体"/>
                <w:b/>
                <w:color w:val="auto"/>
                <w:szCs w:val="21"/>
                <w:highlight w:val="none"/>
              </w:rPr>
            </w:pPr>
            <w:r>
              <w:rPr>
                <w:rFonts w:hint="eastAsia" w:ascii="宋体" w:hAnsi="宋体"/>
                <w:b/>
                <w:color w:val="auto"/>
                <w:szCs w:val="21"/>
                <w:highlight w:val="none"/>
              </w:rPr>
              <w:t xml:space="preserve">序号</w:t>
            </w:r>
            <w:r/>
          </w:p>
        </w:tc>
        <w:tc>
          <w:tcPr>
            <w:tcMar>
              <w:left w:w="15" w:type="dxa"/>
              <w:top w:w="15" w:type="dxa"/>
              <w:right w:w="15" w:type="dxa"/>
              <w:bottom w:w="0" w:type="dxa"/>
            </w:tcMar>
            <w:tcW w:w="1299" w:type="dxa"/>
            <w:vAlign w:val="center"/>
            <w:textDirection w:val="lrTb"/>
            <w:noWrap/>
          </w:tcPr>
          <w:p>
            <w:pPr>
              <w:jc w:val="center"/>
              <w:rPr>
                <w:rFonts w:ascii="宋体" w:hAnsi="宋体"/>
                <w:b/>
                <w:color w:val="auto"/>
                <w:szCs w:val="21"/>
                <w:highlight w:val="none"/>
              </w:rPr>
            </w:pPr>
            <w:r>
              <w:rPr>
                <w:rFonts w:hint="eastAsia" w:ascii="宋体" w:hAnsi="宋体"/>
                <w:b/>
                <w:color w:val="auto"/>
                <w:szCs w:val="21"/>
                <w:highlight w:val="none"/>
              </w:rPr>
              <w:t xml:space="preserve">名称</w:t>
            </w:r>
            <w:r/>
          </w:p>
        </w:tc>
        <w:tc>
          <w:tcPr>
            <w:tcMar>
              <w:left w:w="15" w:type="dxa"/>
              <w:top w:w="15" w:type="dxa"/>
              <w:right w:w="15" w:type="dxa"/>
              <w:bottom w:w="0" w:type="dxa"/>
            </w:tcMar>
            <w:tcW w:w="3771" w:type="dxa"/>
            <w:vAlign w:val="center"/>
            <w:textDirection w:val="lrTb"/>
            <w:noWrap/>
          </w:tcPr>
          <w:p>
            <w:pPr>
              <w:jc w:val="center"/>
              <w:rPr>
                <w:rFonts w:ascii="宋体" w:hAnsi="宋体"/>
                <w:b/>
                <w:color w:val="auto"/>
                <w:szCs w:val="21"/>
                <w:highlight w:val="none"/>
              </w:rPr>
            </w:pPr>
            <w:r>
              <w:rPr>
                <w:rFonts w:hint="eastAsia" w:ascii="宋体" w:hAnsi="宋体"/>
                <w:b/>
                <w:color w:val="auto"/>
                <w:szCs w:val="21"/>
                <w:highlight w:val="none"/>
              </w:rPr>
              <w:t xml:space="preserve">主要内容</w:t>
            </w:r>
            <w:r/>
          </w:p>
        </w:tc>
        <w:tc>
          <w:tcPr>
            <w:tcW w:w="1401"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单位</w:t>
            </w:r>
            <w:r/>
          </w:p>
        </w:tc>
        <w:tc>
          <w:tcPr>
            <w:tcW w:w="1041"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数量</w:t>
            </w:r>
            <w:r/>
          </w:p>
        </w:tc>
        <w:tc>
          <w:tcPr>
            <w:tcMar>
              <w:left w:w="15" w:type="dxa"/>
              <w:top w:w="15" w:type="dxa"/>
              <w:right w:w="15" w:type="dxa"/>
              <w:bottom w:w="0" w:type="dxa"/>
            </w:tcMar>
            <w:tcW w:w="1134" w:type="dxa"/>
            <w:vAlign w:val="center"/>
            <w:textDirection w:val="lrTb"/>
            <w:noWrap/>
          </w:tcPr>
          <w:p>
            <w:pPr>
              <w:jc w:val="center"/>
              <w:rPr>
                <w:rFonts w:ascii="宋体" w:hAnsi="宋体"/>
                <w:b/>
                <w:color w:val="auto"/>
                <w:szCs w:val="21"/>
                <w:highlight w:val="none"/>
              </w:rPr>
            </w:pPr>
            <w:r>
              <w:rPr>
                <w:rFonts w:ascii="宋体" w:hAnsi="宋体"/>
                <w:b/>
                <w:color w:val="auto"/>
                <w:szCs w:val="21"/>
                <w:highlight w:val="none"/>
              </w:rPr>
              <w:t xml:space="preserve">投标单价</w:t>
            </w:r>
            <w:r/>
          </w:p>
        </w:tc>
      </w:tr>
      <w:tr>
        <w:trPr>
          <w:jc w:val="center"/>
          <w:trHeight w:val="397"/>
        </w:trPr>
        <w:tc>
          <w:tcPr>
            <w:tcMar>
              <w:left w:w="15" w:type="dxa"/>
              <w:top w:w="15" w:type="dxa"/>
              <w:right w:w="15" w:type="dxa"/>
              <w:bottom w:w="0" w:type="dxa"/>
            </w:tcMar>
            <w:tcW w:w="925"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一</w:t>
            </w:r>
            <w:r/>
          </w:p>
        </w:tc>
        <w:tc>
          <w:tcPr>
            <w:tcMar>
              <w:left w:w="15" w:type="dxa"/>
              <w:top w:w="15" w:type="dxa"/>
              <w:right w:w="15" w:type="dxa"/>
              <w:bottom w:w="0" w:type="dxa"/>
            </w:tcMar>
            <w:tcW w:w="1299" w:type="dxa"/>
            <w:vAlign w:val="center"/>
            <w:textDirection w:val="lrTb"/>
            <w:noWrap/>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保洁工作</w:t>
            </w:r>
            <w:r/>
          </w:p>
        </w:tc>
        <w:tc>
          <w:tcPr>
            <w:tcMar>
              <w:left w:w="15" w:type="dxa"/>
              <w:top w:w="15" w:type="dxa"/>
              <w:right w:w="15" w:type="dxa"/>
              <w:bottom w:w="0" w:type="dxa"/>
            </w:tcMar>
            <w:tcW w:w="3771" w:type="dxa"/>
            <w:vAlign w:val="center"/>
            <w:textDirection w:val="lrTb"/>
            <w:noWrap/>
          </w:tcPr>
          <w:p>
            <w:pPr>
              <w:jc w:val="center"/>
              <w:rPr>
                <w:rFonts w:ascii="仿宋" w:hAnsi="仿宋" w:eastAsia="仿宋"/>
                <w:color w:val="auto"/>
                <w:szCs w:val="21"/>
                <w:highlight w:val="none"/>
              </w:rPr>
            </w:pPr>
            <w:r>
              <w:rPr>
                <w:rFonts w:ascii="仿宋" w:hAnsi="仿宋" w:eastAsia="仿宋"/>
                <w:color w:val="auto"/>
                <w:szCs w:val="21"/>
                <w:highlight w:val="none"/>
              </w:rPr>
            </w:r>
            <w:r/>
          </w:p>
        </w:tc>
        <w:tc>
          <w:tcPr>
            <w:tcW w:w="1401" w:type="dxa"/>
            <w:vAlign w:val="center"/>
            <w:textDirection w:val="lrTb"/>
            <w:noWrap w:val="false"/>
          </w:tcPr>
          <w:p>
            <w:pPr>
              <w:jc w:val="center"/>
              <w:rPr>
                <w:rFonts w:ascii="仿宋" w:hAnsi="仿宋" w:eastAsia="仿宋"/>
                <w:color w:val="auto"/>
                <w:szCs w:val="21"/>
                <w:highlight w:val="none"/>
              </w:rPr>
            </w:pPr>
            <w:r>
              <w:rPr>
                <w:rFonts w:ascii="仿宋" w:hAnsi="仿宋" w:eastAsia="仿宋"/>
                <w:color w:val="auto"/>
                <w:szCs w:val="21"/>
                <w:highlight w:val="none"/>
              </w:rPr>
            </w:r>
            <w:r/>
          </w:p>
        </w:tc>
        <w:tc>
          <w:tcPr>
            <w:tcW w:w="1041" w:type="dxa"/>
            <w:vAlign w:val="center"/>
            <w:textDirection w:val="lrTb"/>
            <w:noWrap w:val="false"/>
          </w:tcPr>
          <w:p>
            <w:pPr>
              <w:jc w:val="center"/>
              <w:rPr>
                <w:rFonts w:ascii="仿宋" w:hAnsi="仿宋" w:eastAsia="仿宋"/>
                <w:color w:val="auto"/>
                <w:szCs w:val="21"/>
                <w:highlight w:val="none"/>
              </w:rPr>
            </w:pPr>
            <w:r>
              <w:rPr>
                <w:rFonts w:ascii="仿宋" w:hAnsi="仿宋" w:eastAsia="仿宋"/>
                <w:color w:val="auto"/>
                <w:szCs w:val="21"/>
                <w:highlight w:val="none"/>
              </w:rPr>
            </w:r>
            <w:r/>
          </w:p>
        </w:tc>
        <w:tc>
          <w:tcPr>
            <w:tcMar>
              <w:left w:w="15" w:type="dxa"/>
              <w:top w:w="15" w:type="dxa"/>
              <w:right w:w="15" w:type="dxa"/>
              <w:bottom w:w="0" w:type="dxa"/>
            </w:tcMar>
            <w:tcW w:w="1134" w:type="dxa"/>
            <w:vAlign w:val="center"/>
            <w:textDirection w:val="lrTb"/>
            <w:noWrap/>
          </w:tcPr>
          <w:p>
            <w:pPr>
              <w:jc w:val="center"/>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97"/>
        </w:trPr>
        <w:tc>
          <w:tcPr>
            <w:tcMar>
              <w:left w:w="15" w:type="dxa"/>
              <w:top w:w="15" w:type="dxa"/>
              <w:right w:w="15" w:type="dxa"/>
              <w:bottom w:w="0" w:type="dxa"/>
            </w:tcMar>
            <w:tcW w:w="925"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t xml:space="preserve">1</w:t>
            </w:r>
            <w:r/>
          </w:p>
        </w:tc>
        <w:tc>
          <w:tcPr>
            <w:tcMar>
              <w:left w:w="15" w:type="dxa"/>
              <w:top w:w="15" w:type="dxa"/>
              <w:right w:w="15" w:type="dxa"/>
              <w:bottom w:w="0" w:type="dxa"/>
            </w:tcMar>
            <w:tcW w:w="1299" w:type="dxa"/>
            <w:vAlign w:val="center"/>
            <w:textDirection w:val="lrTb"/>
            <w:noWrap/>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日常保洁</w:t>
            </w:r>
            <w:r/>
          </w:p>
        </w:tc>
        <w:tc>
          <w:tcPr>
            <w:tcMar>
              <w:left w:w="15" w:type="dxa"/>
              <w:top w:w="15" w:type="dxa"/>
              <w:right w:w="15" w:type="dxa"/>
              <w:bottom w:w="0" w:type="dxa"/>
            </w:tcMar>
            <w:tcW w:w="3771" w:type="dxa"/>
            <w:vAlign w:val="center"/>
            <w:textDirection w:val="lrTb"/>
            <w:noWrap/>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日常打扫广场及道路，做到基本无垃圾、无纸屑、无积水。</w:t>
            </w:r>
            <w:r/>
          </w:p>
        </w:tc>
        <w:tc>
          <w:tcPr>
            <w:tcW w:w="1401" w:type="dxa"/>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m2</w:t>
            </w:r>
            <w:r/>
          </w:p>
        </w:tc>
        <w:tc>
          <w:tcPr>
            <w:tcW w:w="1041" w:type="dxa"/>
            <w:vAlign w:val="center"/>
            <w:textDirection w:val="lrTb"/>
            <w:noWrap w:val="false"/>
          </w:tcPr>
          <w:p>
            <w:pPr>
              <w:jc w:val="center"/>
              <w:rPr>
                <w:rFonts w:ascii="仿宋" w:hAnsi="仿宋" w:eastAsia="仿宋"/>
                <w:color w:val="auto"/>
                <w:szCs w:val="21"/>
                <w:highlight w:val="none"/>
              </w:rPr>
            </w:pPr>
            <w:r>
              <w:rPr>
                <w:rFonts w:ascii="仿宋" w:hAnsi="仿宋" w:eastAsia="仿宋"/>
                <w:color w:val="auto"/>
                <w:szCs w:val="21"/>
                <w:highlight w:val="none"/>
              </w:rPr>
              <w:t xml:space="preserve">5650</w:t>
            </w:r>
            <w:r/>
          </w:p>
        </w:tc>
        <w:tc>
          <w:tcPr>
            <w:tcMar>
              <w:left w:w="15" w:type="dxa"/>
              <w:top w:w="15" w:type="dxa"/>
              <w:right w:w="15" w:type="dxa"/>
              <w:bottom w:w="0" w:type="dxa"/>
            </w:tcMar>
            <w:tcW w:w="1134" w:type="dxa"/>
            <w:vAlign w:val="center"/>
            <w:textDirection w:val="lrTb"/>
            <w:noWrap/>
          </w:tcPr>
          <w:p>
            <w:pPr>
              <w:jc w:val="center"/>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97"/>
        </w:trPr>
        <w:tc>
          <w:tcPr>
            <w:tcMar>
              <w:left w:w="15" w:type="dxa"/>
              <w:top w:w="15" w:type="dxa"/>
              <w:right w:w="15" w:type="dxa"/>
              <w:bottom w:w="0" w:type="dxa"/>
            </w:tcMar>
            <w:tcW w:w="925"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t xml:space="preserve">2</w:t>
            </w:r>
            <w:r/>
          </w:p>
        </w:tc>
        <w:tc>
          <w:tcPr>
            <w:tcMar>
              <w:left w:w="15" w:type="dxa"/>
              <w:top w:w="15" w:type="dxa"/>
              <w:right w:w="15" w:type="dxa"/>
              <w:bottom w:w="0" w:type="dxa"/>
            </w:tcMar>
            <w:tcW w:w="1299" w:type="dxa"/>
            <w:vAlign w:val="center"/>
            <w:textDirection w:val="lrTb"/>
            <w:noWrap/>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标志标牌擦洗</w:t>
            </w:r>
            <w:r/>
          </w:p>
        </w:tc>
        <w:tc>
          <w:tcPr>
            <w:tcMar>
              <w:left w:w="15" w:type="dxa"/>
              <w:top w:w="15" w:type="dxa"/>
              <w:right w:w="15" w:type="dxa"/>
              <w:bottom w:w="0" w:type="dxa"/>
            </w:tcMar>
            <w:tcW w:w="3771" w:type="dxa"/>
            <w:vAlign w:val="center"/>
            <w:textDirection w:val="lrTb"/>
            <w:noWrap/>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每周至少全面擦洗</w:t>
            </w:r>
            <w:r>
              <w:rPr>
                <w:rFonts w:ascii="仿宋" w:hAnsi="仿宋" w:eastAsia="仿宋"/>
                <w:color w:val="auto"/>
                <w:szCs w:val="21"/>
                <w:highlight w:val="none"/>
              </w:rPr>
              <w:t xml:space="preserve">1</w:t>
            </w:r>
            <w:r>
              <w:rPr>
                <w:rFonts w:hint="eastAsia" w:ascii="仿宋" w:hAnsi="仿宋" w:eastAsia="仿宋"/>
                <w:color w:val="auto"/>
                <w:szCs w:val="21"/>
                <w:highlight w:val="none"/>
              </w:rPr>
              <w:t xml:space="preserve">次，做到牌面无污染，无泥渍。</w:t>
            </w:r>
            <w:r/>
          </w:p>
        </w:tc>
        <w:tc>
          <w:tcPr>
            <w:tcW w:w="1401" w:type="dxa"/>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块</w:t>
            </w:r>
            <w:r/>
          </w:p>
        </w:tc>
        <w:tc>
          <w:tcPr>
            <w:tcW w:w="1041" w:type="dxa"/>
            <w:vAlign w:val="center"/>
            <w:textDirection w:val="lrTb"/>
            <w:noWrap w:val="false"/>
          </w:tcPr>
          <w:p>
            <w:pPr>
              <w:jc w:val="center"/>
              <w:rPr>
                <w:rFonts w:ascii="仿宋" w:hAnsi="仿宋" w:eastAsia="仿宋"/>
                <w:color w:val="auto"/>
                <w:szCs w:val="21"/>
                <w:highlight w:val="none"/>
              </w:rPr>
            </w:pPr>
            <w:r>
              <w:rPr>
                <w:rFonts w:ascii="仿宋" w:hAnsi="仿宋" w:eastAsia="仿宋"/>
                <w:color w:val="auto"/>
                <w:szCs w:val="21"/>
                <w:highlight w:val="none"/>
              </w:rPr>
              <w:t xml:space="preserve">18</w:t>
            </w:r>
            <w:r/>
          </w:p>
        </w:tc>
        <w:tc>
          <w:tcPr>
            <w:tcMar>
              <w:left w:w="15" w:type="dxa"/>
              <w:top w:w="15" w:type="dxa"/>
              <w:right w:w="15" w:type="dxa"/>
              <w:bottom w:w="0" w:type="dxa"/>
            </w:tcMar>
            <w:tcW w:w="1134" w:type="dxa"/>
            <w:vAlign w:val="center"/>
            <w:textDirection w:val="lrTb"/>
            <w:noWrap/>
          </w:tcPr>
          <w:p>
            <w:pPr>
              <w:jc w:val="center"/>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97"/>
        </w:trPr>
        <w:tc>
          <w:tcPr>
            <w:tcMar>
              <w:left w:w="15" w:type="dxa"/>
              <w:top w:w="15" w:type="dxa"/>
              <w:right w:w="15" w:type="dxa"/>
              <w:bottom w:w="0" w:type="dxa"/>
            </w:tcMar>
            <w:tcW w:w="925"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t xml:space="preserve">3</w:t>
            </w:r>
            <w:r/>
          </w:p>
        </w:tc>
        <w:tc>
          <w:tcPr>
            <w:tcMar>
              <w:left w:w="15" w:type="dxa"/>
              <w:top w:w="15" w:type="dxa"/>
              <w:right w:w="15" w:type="dxa"/>
              <w:bottom w:w="0" w:type="dxa"/>
            </w:tcMar>
            <w:tcW w:w="1299" w:type="dxa"/>
            <w:vAlign w:val="center"/>
            <w:textDirection w:val="lrTb"/>
            <w:noWrap/>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宣传牌擦洗</w:t>
            </w:r>
            <w:r/>
          </w:p>
        </w:tc>
        <w:tc>
          <w:tcPr>
            <w:tcMar>
              <w:left w:w="15" w:type="dxa"/>
              <w:top w:w="15" w:type="dxa"/>
              <w:right w:w="15" w:type="dxa"/>
              <w:bottom w:w="0" w:type="dxa"/>
            </w:tcMar>
            <w:tcW w:w="3771" w:type="dxa"/>
            <w:vAlign w:val="center"/>
            <w:textDirection w:val="lrTb"/>
            <w:noWrap/>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每周至少全面擦洗</w:t>
            </w:r>
            <w:r>
              <w:rPr>
                <w:rFonts w:ascii="仿宋" w:hAnsi="仿宋" w:eastAsia="仿宋"/>
                <w:color w:val="auto"/>
                <w:szCs w:val="21"/>
                <w:highlight w:val="none"/>
              </w:rPr>
              <w:t xml:space="preserve">2</w:t>
            </w:r>
            <w:r>
              <w:rPr>
                <w:rFonts w:hint="eastAsia" w:ascii="仿宋" w:hAnsi="仿宋" w:eastAsia="仿宋"/>
                <w:color w:val="auto"/>
                <w:szCs w:val="21"/>
                <w:highlight w:val="none"/>
              </w:rPr>
              <w:t xml:space="preserve">次，做到牌面无污染，无泥渍。</w:t>
            </w:r>
            <w:r/>
          </w:p>
        </w:tc>
        <w:tc>
          <w:tcPr>
            <w:tcW w:w="1401" w:type="dxa"/>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块</w:t>
            </w:r>
            <w:r/>
          </w:p>
        </w:tc>
        <w:tc>
          <w:tcPr>
            <w:tcW w:w="1041" w:type="dxa"/>
            <w:vAlign w:val="center"/>
            <w:textDirection w:val="lrTb"/>
            <w:noWrap w:val="false"/>
          </w:tcPr>
          <w:p>
            <w:pPr>
              <w:jc w:val="center"/>
              <w:rPr>
                <w:rFonts w:ascii="仿宋" w:hAnsi="仿宋" w:eastAsia="仿宋"/>
                <w:color w:val="auto"/>
                <w:szCs w:val="21"/>
                <w:highlight w:val="none"/>
              </w:rPr>
            </w:pPr>
            <w:r>
              <w:rPr>
                <w:rFonts w:ascii="仿宋" w:hAnsi="仿宋" w:eastAsia="仿宋"/>
                <w:color w:val="auto"/>
                <w:szCs w:val="21"/>
                <w:highlight w:val="none"/>
              </w:rPr>
              <w:t xml:space="preserve">16</w:t>
            </w:r>
            <w:r/>
          </w:p>
        </w:tc>
        <w:tc>
          <w:tcPr>
            <w:tcMar>
              <w:left w:w="15" w:type="dxa"/>
              <w:top w:w="15" w:type="dxa"/>
              <w:right w:w="15" w:type="dxa"/>
              <w:bottom w:w="0" w:type="dxa"/>
            </w:tcMar>
            <w:tcW w:w="1134" w:type="dxa"/>
            <w:vAlign w:val="center"/>
            <w:textDirection w:val="lrTb"/>
            <w:noWrap/>
          </w:tcPr>
          <w:p>
            <w:pPr>
              <w:jc w:val="center"/>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97"/>
        </w:trPr>
        <w:tc>
          <w:tcPr>
            <w:tcMar>
              <w:left w:w="15" w:type="dxa"/>
              <w:top w:w="15" w:type="dxa"/>
              <w:right w:w="15" w:type="dxa"/>
              <w:bottom w:w="0" w:type="dxa"/>
            </w:tcMar>
            <w:tcW w:w="925"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t xml:space="preserve">4</w:t>
            </w:r>
            <w:r/>
          </w:p>
        </w:tc>
        <w:tc>
          <w:tcPr>
            <w:tcMar>
              <w:left w:w="15" w:type="dxa"/>
              <w:top w:w="15" w:type="dxa"/>
              <w:right w:w="15" w:type="dxa"/>
              <w:bottom w:w="0" w:type="dxa"/>
            </w:tcMar>
            <w:tcW w:w="1299" w:type="dxa"/>
            <w:vAlign w:val="center"/>
            <w:textDirection w:val="lrTb"/>
            <w:noWrap/>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设施（护栏）日常养护</w:t>
            </w:r>
            <w:r/>
          </w:p>
        </w:tc>
        <w:tc>
          <w:tcPr>
            <w:tcMar>
              <w:left w:w="15" w:type="dxa"/>
              <w:top w:w="15" w:type="dxa"/>
              <w:right w:w="15" w:type="dxa"/>
              <w:bottom w:w="0" w:type="dxa"/>
            </w:tcMar>
            <w:tcW w:w="3771" w:type="dxa"/>
            <w:vAlign w:val="center"/>
            <w:textDirection w:val="lrTb"/>
            <w:noWrap/>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每周至少全面擦洗</w:t>
            </w:r>
            <w:r>
              <w:rPr>
                <w:rFonts w:ascii="仿宋" w:hAnsi="仿宋" w:eastAsia="仿宋"/>
                <w:color w:val="auto"/>
                <w:szCs w:val="21"/>
                <w:highlight w:val="none"/>
              </w:rPr>
              <w:t xml:space="preserve">1</w:t>
            </w:r>
            <w:r>
              <w:rPr>
                <w:rFonts w:hint="eastAsia" w:ascii="仿宋" w:hAnsi="仿宋" w:eastAsia="仿宋"/>
                <w:color w:val="auto"/>
                <w:szCs w:val="21"/>
                <w:highlight w:val="none"/>
              </w:rPr>
              <w:t xml:space="preserve">次，每日对护栏进行巡查，发现损坏及时上报。</w:t>
            </w:r>
            <w:r/>
          </w:p>
        </w:tc>
        <w:tc>
          <w:tcPr>
            <w:tcW w:w="1401" w:type="dxa"/>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m</w:t>
            </w:r>
            <w:r/>
          </w:p>
        </w:tc>
        <w:tc>
          <w:tcPr>
            <w:tcW w:w="1041" w:type="dxa"/>
            <w:vAlign w:val="center"/>
            <w:textDirection w:val="lrTb"/>
            <w:noWrap w:val="false"/>
          </w:tcPr>
          <w:p>
            <w:pPr>
              <w:jc w:val="center"/>
              <w:rPr>
                <w:rFonts w:ascii="仿宋" w:hAnsi="仿宋" w:eastAsia="仿宋"/>
                <w:color w:val="auto"/>
                <w:szCs w:val="21"/>
                <w:highlight w:val="none"/>
              </w:rPr>
            </w:pPr>
            <w:r>
              <w:rPr>
                <w:rFonts w:ascii="仿宋" w:hAnsi="仿宋" w:eastAsia="仿宋"/>
                <w:color w:val="auto"/>
                <w:szCs w:val="21"/>
                <w:highlight w:val="none"/>
              </w:rPr>
              <w:t xml:space="preserve">400</w:t>
            </w:r>
            <w:r/>
          </w:p>
        </w:tc>
        <w:tc>
          <w:tcPr>
            <w:tcMar>
              <w:left w:w="15" w:type="dxa"/>
              <w:top w:w="15" w:type="dxa"/>
              <w:right w:w="15" w:type="dxa"/>
              <w:bottom w:w="0" w:type="dxa"/>
            </w:tcMar>
            <w:tcW w:w="1134" w:type="dxa"/>
            <w:vAlign w:val="center"/>
            <w:textDirection w:val="lrTb"/>
            <w:noWrap/>
          </w:tcPr>
          <w:p>
            <w:pPr>
              <w:jc w:val="center"/>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5"/>
        </w:trPr>
        <w:tc>
          <w:tcPr>
            <w:tcMar>
              <w:left w:w="15" w:type="dxa"/>
              <w:top w:w="15" w:type="dxa"/>
              <w:right w:w="15" w:type="dxa"/>
              <w:bottom w:w="0" w:type="dxa"/>
            </w:tcMar>
            <w:tcW w:w="925"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t xml:space="preserve">5</w:t>
            </w:r>
            <w:r/>
          </w:p>
        </w:tc>
        <w:tc>
          <w:tcPr>
            <w:tcMar>
              <w:left w:w="15" w:type="dxa"/>
              <w:top w:w="15" w:type="dxa"/>
              <w:right w:w="15" w:type="dxa"/>
              <w:bottom w:w="0" w:type="dxa"/>
            </w:tcMar>
            <w:tcW w:w="1299" w:type="dxa"/>
            <w:vAlign w:val="center"/>
            <w:textDirection w:val="lrTb"/>
            <w:noWrap/>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汛后淤泥冲洗</w:t>
            </w:r>
            <w:r/>
          </w:p>
        </w:tc>
        <w:tc>
          <w:tcPr>
            <w:tcMar>
              <w:left w:w="15" w:type="dxa"/>
              <w:top w:w="15" w:type="dxa"/>
              <w:right w:w="15" w:type="dxa"/>
              <w:bottom w:w="0" w:type="dxa"/>
            </w:tcMar>
            <w:tcW w:w="3771" w:type="dxa"/>
            <w:vAlign w:val="center"/>
            <w:textDirection w:val="lrTb"/>
            <w:noWrap/>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汛后组织人员对淤泥及时清理。</w:t>
            </w:r>
            <w:r/>
          </w:p>
        </w:tc>
        <w:tc>
          <w:tcPr>
            <w:tcW w:w="1401" w:type="dxa"/>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m2</w:t>
            </w:r>
            <w:r/>
          </w:p>
        </w:tc>
        <w:tc>
          <w:tcPr>
            <w:tcW w:w="1041" w:type="dxa"/>
            <w:vAlign w:val="center"/>
            <w:textDirection w:val="lrTb"/>
            <w:noWrap w:val="false"/>
          </w:tcPr>
          <w:p>
            <w:pPr>
              <w:jc w:val="center"/>
              <w:rPr>
                <w:rFonts w:ascii="仿宋" w:hAnsi="仿宋" w:eastAsia="仿宋"/>
                <w:color w:val="auto"/>
                <w:szCs w:val="21"/>
                <w:highlight w:val="none"/>
              </w:rPr>
            </w:pPr>
            <w:r>
              <w:rPr>
                <w:rFonts w:ascii="仿宋" w:hAnsi="仿宋" w:eastAsia="仿宋"/>
                <w:color w:val="auto"/>
                <w:szCs w:val="21"/>
                <w:highlight w:val="none"/>
              </w:rPr>
              <w:t xml:space="preserve">2050</w:t>
            </w:r>
            <w:r/>
          </w:p>
        </w:tc>
        <w:tc>
          <w:tcPr>
            <w:tcMar>
              <w:left w:w="15" w:type="dxa"/>
              <w:top w:w="15" w:type="dxa"/>
              <w:right w:w="15" w:type="dxa"/>
              <w:bottom w:w="0" w:type="dxa"/>
            </w:tcMar>
            <w:tcW w:w="1134" w:type="dxa"/>
            <w:vAlign w:val="center"/>
            <w:textDirection w:val="lrTb"/>
            <w:noWrap/>
          </w:tcPr>
          <w:p>
            <w:pPr>
              <w:jc w:val="center"/>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97"/>
        </w:trPr>
        <w:tc>
          <w:tcPr>
            <w:tcMar>
              <w:left w:w="15" w:type="dxa"/>
              <w:top w:w="15" w:type="dxa"/>
              <w:right w:w="15" w:type="dxa"/>
              <w:bottom w:w="0" w:type="dxa"/>
            </w:tcMar>
            <w:tcW w:w="925"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二</w:t>
            </w:r>
            <w:r/>
          </w:p>
        </w:tc>
        <w:tc>
          <w:tcPr>
            <w:tcMar>
              <w:left w:w="15" w:type="dxa"/>
              <w:top w:w="15" w:type="dxa"/>
              <w:right w:w="15" w:type="dxa"/>
              <w:bottom w:w="0" w:type="dxa"/>
            </w:tcMar>
            <w:tcW w:w="1299" w:type="dxa"/>
            <w:vAlign w:val="center"/>
            <w:textDirection w:val="lrTb"/>
            <w:noWrap/>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绿化养护</w:t>
            </w:r>
            <w:r/>
          </w:p>
        </w:tc>
        <w:tc>
          <w:tcPr>
            <w:tcMar>
              <w:left w:w="15" w:type="dxa"/>
              <w:top w:w="15" w:type="dxa"/>
              <w:right w:w="15" w:type="dxa"/>
              <w:bottom w:w="0" w:type="dxa"/>
            </w:tcMar>
            <w:tcW w:w="3771" w:type="dxa"/>
            <w:vAlign w:val="center"/>
            <w:textDirection w:val="lrTb"/>
            <w:noWrap/>
          </w:tcPr>
          <w:p>
            <w:pPr>
              <w:jc w:val="center"/>
              <w:rPr>
                <w:rFonts w:ascii="仿宋" w:hAnsi="仿宋" w:eastAsia="仿宋"/>
                <w:color w:val="auto"/>
                <w:szCs w:val="21"/>
                <w:highlight w:val="none"/>
              </w:rPr>
            </w:pPr>
            <w:r>
              <w:rPr>
                <w:rFonts w:ascii="仿宋" w:hAnsi="仿宋" w:eastAsia="仿宋"/>
                <w:color w:val="auto"/>
                <w:szCs w:val="21"/>
                <w:highlight w:val="none"/>
              </w:rPr>
            </w:r>
            <w:r/>
          </w:p>
        </w:tc>
        <w:tc>
          <w:tcPr>
            <w:tcW w:w="1401" w:type="dxa"/>
            <w:vAlign w:val="center"/>
            <w:textDirection w:val="lrTb"/>
            <w:noWrap w:val="false"/>
          </w:tcPr>
          <w:p>
            <w:pPr>
              <w:jc w:val="center"/>
              <w:rPr>
                <w:rFonts w:ascii="仿宋" w:hAnsi="仿宋" w:eastAsia="仿宋"/>
                <w:color w:val="auto"/>
                <w:szCs w:val="21"/>
                <w:highlight w:val="none"/>
              </w:rPr>
            </w:pPr>
            <w:r>
              <w:rPr>
                <w:rFonts w:ascii="仿宋" w:hAnsi="仿宋" w:eastAsia="仿宋"/>
                <w:color w:val="auto"/>
                <w:szCs w:val="21"/>
                <w:highlight w:val="none"/>
              </w:rPr>
            </w:r>
            <w:r/>
          </w:p>
        </w:tc>
        <w:tc>
          <w:tcPr>
            <w:tcW w:w="1041" w:type="dxa"/>
            <w:vAlign w:val="center"/>
            <w:textDirection w:val="lrTb"/>
            <w:noWrap w:val="false"/>
          </w:tcPr>
          <w:p>
            <w:pPr>
              <w:jc w:val="center"/>
              <w:rPr>
                <w:rFonts w:ascii="仿宋" w:hAnsi="仿宋" w:eastAsia="仿宋"/>
                <w:color w:val="auto"/>
                <w:szCs w:val="21"/>
                <w:highlight w:val="none"/>
              </w:rPr>
            </w:pPr>
            <w:r>
              <w:rPr>
                <w:rFonts w:ascii="仿宋" w:hAnsi="仿宋" w:eastAsia="仿宋"/>
                <w:color w:val="auto"/>
                <w:szCs w:val="21"/>
                <w:highlight w:val="none"/>
              </w:rPr>
            </w:r>
            <w:r/>
          </w:p>
        </w:tc>
        <w:tc>
          <w:tcPr>
            <w:tcMar>
              <w:left w:w="15" w:type="dxa"/>
              <w:top w:w="15" w:type="dxa"/>
              <w:right w:w="15" w:type="dxa"/>
              <w:bottom w:w="0" w:type="dxa"/>
            </w:tcMar>
            <w:tcW w:w="1134" w:type="dxa"/>
            <w:vAlign w:val="center"/>
            <w:textDirection w:val="lrTb"/>
            <w:noWrap/>
          </w:tcPr>
          <w:p>
            <w:pPr>
              <w:jc w:val="center"/>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97"/>
        </w:trPr>
        <w:tc>
          <w:tcPr>
            <w:tcMar>
              <w:left w:w="15" w:type="dxa"/>
              <w:top w:w="15" w:type="dxa"/>
              <w:right w:w="15" w:type="dxa"/>
              <w:bottom w:w="0" w:type="dxa"/>
            </w:tcMar>
            <w:tcW w:w="925"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t xml:space="preserve">1</w:t>
            </w:r>
            <w:r/>
          </w:p>
        </w:tc>
        <w:tc>
          <w:tcPr>
            <w:tcMar>
              <w:left w:w="15" w:type="dxa"/>
              <w:top w:w="15" w:type="dxa"/>
              <w:right w:w="15" w:type="dxa"/>
              <w:bottom w:w="0" w:type="dxa"/>
            </w:tcMar>
            <w:tcW w:w="1299" w:type="dxa"/>
            <w:vAlign w:val="center"/>
            <w:textDirection w:val="lrTb"/>
            <w:noWrap/>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草皮维护</w:t>
            </w:r>
            <w:r/>
          </w:p>
        </w:tc>
        <w:tc>
          <w:tcPr>
            <w:tcMar>
              <w:left w:w="15" w:type="dxa"/>
              <w:top w:w="15" w:type="dxa"/>
              <w:right w:w="15" w:type="dxa"/>
              <w:bottom w:w="0" w:type="dxa"/>
            </w:tcMar>
            <w:tcW w:w="3771" w:type="dxa"/>
            <w:vAlign w:val="center"/>
            <w:textDirection w:val="lrTb"/>
            <w:noWrap/>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养护期内对草皮、绿篱养护及修剪，每月</w:t>
            </w:r>
            <w:r>
              <w:rPr>
                <w:rFonts w:ascii="仿宋" w:hAnsi="仿宋" w:eastAsia="仿宋"/>
                <w:color w:val="auto"/>
                <w:szCs w:val="21"/>
                <w:highlight w:val="none"/>
              </w:rPr>
              <w:t xml:space="preserve">2</w:t>
            </w:r>
            <w:r>
              <w:rPr>
                <w:rFonts w:hint="eastAsia" w:ascii="仿宋" w:hAnsi="仿宋" w:eastAsia="仿宋"/>
                <w:color w:val="auto"/>
                <w:szCs w:val="21"/>
                <w:highlight w:val="none"/>
              </w:rPr>
              <w:t xml:space="preserve">次。</w:t>
            </w:r>
            <w:r/>
          </w:p>
        </w:tc>
        <w:tc>
          <w:tcPr>
            <w:tcW w:w="1401" w:type="dxa"/>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m2</w:t>
            </w:r>
            <w:r/>
          </w:p>
        </w:tc>
        <w:tc>
          <w:tcPr>
            <w:tcW w:w="1041" w:type="dxa"/>
            <w:vAlign w:val="center"/>
            <w:textDirection w:val="lrTb"/>
            <w:noWrap w:val="false"/>
          </w:tcPr>
          <w:p>
            <w:pPr>
              <w:jc w:val="center"/>
              <w:rPr>
                <w:rFonts w:ascii="仿宋" w:hAnsi="仿宋" w:eastAsia="仿宋"/>
                <w:color w:val="auto"/>
                <w:szCs w:val="21"/>
                <w:highlight w:val="none"/>
              </w:rPr>
            </w:pPr>
            <w:r>
              <w:rPr>
                <w:rFonts w:ascii="仿宋" w:hAnsi="仿宋" w:eastAsia="仿宋"/>
                <w:color w:val="auto"/>
                <w:szCs w:val="21"/>
                <w:highlight w:val="none"/>
              </w:rPr>
              <w:t xml:space="preserve">3600</w:t>
            </w:r>
            <w:r/>
          </w:p>
        </w:tc>
        <w:tc>
          <w:tcPr>
            <w:tcMar>
              <w:left w:w="15" w:type="dxa"/>
              <w:top w:w="15" w:type="dxa"/>
              <w:right w:w="15" w:type="dxa"/>
              <w:bottom w:w="0" w:type="dxa"/>
            </w:tcMar>
            <w:tcW w:w="1134" w:type="dxa"/>
            <w:vAlign w:val="center"/>
            <w:textDirection w:val="lrTb"/>
            <w:noWrap/>
          </w:tcPr>
          <w:p>
            <w:pPr>
              <w:jc w:val="center"/>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97"/>
        </w:trPr>
        <w:tc>
          <w:tcPr>
            <w:tcMar>
              <w:left w:w="15" w:type="dxa"/>
              <w:top w:w="15" w:type="dxa"/>
              <w:right w:w="15" w:type="dxa"/>
              <w:bottom w:w="0" w:type="dxa"/>
            </w:tcMar>
            <w:tcW w:w="925"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t xml:space="preserve">2</w:t>
            </w:r>
            <w:r/>
          </w:p>
        </w:tc>
        <w:tc>
          <w:tcPr>
            <w:tcMar>
              <w:left w:w="15" w:type="dxa"/>
              <w:top w:w="15" w:type="dxa"/>
              <w:right w:w="15" w:type="dxa"/>
              <w:bottom w:w="0" w:type="dxa"/>
            </w:tcMar>
            <w:tcW w:w="1299" w:type="dxa"/>
            <w:vAlign w:val="center"/>
            <w:textDirection w:val="lrTb"/>
            <w:noWrap/>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灌木养护</w:t>
            </w:r>
            <w:r/>
          </w:p>
        </w:tc>
        <w:tc>
          <w:tcPr>
            <w:tcMar>
              <w:left w:w="15" w:type="dxa"/>
              <w:top w:w="15" w:type="dxa"/>
              <w:right w:w="15" w:type="dxa"/>
              <w:bottom w:w="0" w:type="dxa"/>
            </w:tcMar>
            <w:tcW w:w="3771" w:type="dxa"/>
            <w:vAlign w:val="center"/>
            <w:textDirection w:val="lrTb"/>
            <w:noWrap/>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对灌木养护及修剪，每月</w:t>
            </w:r>
            <w:r>
              <w:rPr>
                <w:rFonts w:ascii="仿宋" w:hAnsi="仿宋" w:eastAsia="仿宋"/>
                <w:color w:val="auto"/>
                <w:szCs w:val="21"/>
                <w:highlight w:val="none"/>
              </w:rPr>
              <w:t xml:space="preserve">2</w:t>
            </w:r>
            <w:r>
              <w:rPr>
                <w:rFonts w:hint="eastAsia" w:ascii="仿宋" w:hAnsi="仿宋" w:eastAsia="仿宋"/>
                <w:color w:val="auto"/>
                <w:szCs w:val="21"/>
                <w:highlight w:val="none"/>
              </w:rPr>
              <w:t xml:space="preserve">次。</w:t>
            </w:r>
            <w:r/>
          </w:p>
        </w:tc>
        <w:tc>
          <w:tcPr>
            <w:tcW w:w="1401" w:type="dxa"/>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株</w:t>
            </w:r>
            <w:r/>
          </w:p>
        </w:tc>
        <w:tc>
          <w:tcPr>
            <w:tcW w:w="1041" w:type="dxa"/>
            <w:vAlign w:val="center"/>
            <w:textDirection w:val="lrTb"/>
            <w:noWrap w:val="false"/>
          </w:tcPr>
          <w:p>
            <w:pPr>
              <w:jc w:val="center"/>
              <w:rPr>
                <w:rFonts w:ascii="仿宋" w:hAnsi="仿宋" w:eastAsia="仿宋"/>
                <w:color w:val="auto"/>
                <w:szCs w:val="21"/>
                <w:highlight w:val="none"/>
              </w:rPr>
            </w:pPr>
            <w:r>
              <w:rPr>
                <w:rFonts w:ascii="仿宋" w:hAnsi="仿宋" w:eastAsia="仿宋"/>
                <w:color w:val="auto"/>
                <w:szCs w:val="21"/>
                <w:highlight w:val="none"/>
              </w:rPr>
              <w:t xml:space="preserve">110</w:t>
            </w:r>
            <w:r/>
          </w:p>
        </w:tc>
        <w:tc>
          <w:tcPr>
            <w:tcMar>
              <w:left w:w="15" w:type="dxa"/>
              <w:top w:w="15" w:type="dxa"/>
              <w:right w:w="15" w:type="dxa"/>
              <w:bottom w:w="0" w:type="dxa"/>
            </w:tcMar>
            <w:tcW w:w="1134" w:type="dxa"/>
            <w:vAlign w:val="center"/>
            <w:textDirection w:val="lrTb"/>
            <w:noWrap/>
          </w:tcPr>
          <w:p>
            <w:pPr>
              <w:jc w:val="center"/>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97"/>
        </w:trPr>
        <w:tc>
          <w:tcPr>
            <w:tcMar>
              <w:left w:w="15" w:type="dxa"/>
              <w:top w:w="15" w:type="dxa"/>
              <w:right w:w="15" w:type="dxa"/>
              <w:bottom w:w="0" w:type="dxa"/>
            </w:tcMar>
            <w:tcW w:w="925"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三</w:t>
            </w:r>
            <w:r/>
          </w:p>
        </w:tc>
        <w:tc>
          <w:tcPr>
            <w:tcMar>
              <w:left w:w="15" w:type="dxa"/>
              <w:top w:w="15" w:type="dxa"/>
              <w:right w:w="15" w:type="dxa"/>
              <w:bottom w:w="0" w:type="dxa"/>
            </w:tcMar>
            <w:tcW w:w="1299" w:type="dxa"/>
            <w:vAlign w:val="center"/>
            <w:textDirection w:val="lrTb"/>
            <w:noWrap/>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垃圾桶处理</w:t>
            </w:r>
            <w:r/>
          </w:p>
        </w:tc>
        <w:tc>
          <w:tcPr>
            <w:tcMar>
              <w:left w:w="15" w:type="dxa"/>
              <w:top w:w="15" w:type="dxa"/>
              <w:right w:w="15" w:type="dxa"/>
              <w:bottom w:w="0" w:type="dxa"/>
            </w:tcMar>
            <w:tcW w:w="3771" w:type="dxa"/>
            <w:vAlign w:val="center"/>
            <w:textDirection w:val="lrTb"/>
            <w:noWrap/>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每日对垃圾桶进行清理，垃圾及时清运。报价含垃圾袋及垃圾处理费。</w:t>
            </w:r>
            <w:r/>
          </w:p>
        </w:tc>
        <w:tc>
          <w:tcPr>
            <w:tcW w:w="1401" w:type="dxa"/>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个</w:t>
            </w:r>
            <w:r/>
          </w:p>
        </w:tc>
        <w:tc>
          <w:tcPr>
            <w:tcW w:w="1041" w:type="dxa"/>
            <w:vAlign w:val="center"/>
            <w:textDirection w:val="lrTb"/>
            <w:noWrap w:val="false"/>
          </w:tcPr>
          <w:p>
            <w:pPr>
              <w:jc w:val="center"/>
              <w:rPr>
                <w:rFonts w:ascii="仿宋" w:hAnsi="仿宋" w:eastAsia="仿宋"/>
                <w:color w:val="auto"/>
                <w:szCs w:val="21"/>
                <w:highlight w:val="none"/>
              </w:rPr>
            </w:pPr>
            <w:r>
              <w:rPr>
                <w:rFonts w:ascii="仿宋" w:hAnsi="仿宋" w:eastAsia="仿宋"/>
                <w:color w:val="auto"/>
                <w:szCs w:val="21"/>
                <w:highlight w:val="none"/>
              </w:rPr>
              <w:t xml:space="preserve">6</w:t>
            </w:r>
            <w:r/>
          </w:p>
        </w:tc>
        <w:tc>
          <w:tcPr>
            <w:tcMar>
              <w:left w:w="15" w:type="dxa"/>
              <w:top w:w="15" w:type="dxa"/>
              <w:right w:w="15" w:type="dxa"/>
              <w:bottom w:w="0" w:type="dxa"/>
            </w:tcMar>
            <w:tcW w:w="1134" w:type="dxa"/>
            <w:vAlign w:val="center"/>
            <w:textDirection w:val="lrTb"/>
            <w:noWrap/>
          </w:tcPr>
          <w:p>
            <w:pPr>
              <w:jc w:val="center"/>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397"/>
        </w:trPr>
        <w:tc>
          <w:tcPr>
            <w:tcMar>
              <w:left w:w="15" w:type="dxa"/>
              <w:top w:w="15" w:type="dxa"/>
              <w:right w:w="15" w:type="dxa"/>
              <w:bottom w:w="0" w:type="dxa"/>
            </w:tcMar>
            <w:tcW w:w="925" w:type="dxa"/>
            <w:vAlign w:val="center"/>
            <w:textDirection w:val="lrTb"/>
            <w:noWrap/>
          </w:tcPr>
          <w:p>
            <w:pPr>
              <w:jc w:val="center"/>
              <w:rPr>
                <w:rFonts w:ascii="宋体" w:hAnsi="宋体"/>
                <w:color w:val="auto"/>
                <w:szCs w:val="21"/>
                <w:highlight w:val="none"/>
              </w:rPr>
            </w:pPr>
            <w:r>
              <w:rPr>
                <w:rFonts w:hint="eastAsia" w:ascii="宋体" w:hAnsi="宋体"/>
                <w:color w:val="auto"/>
                <w:szCs w:val="21"/>
                <w:highlight w:val="none"/>
              </w:rPr>
              <w:t xml:space="preserve">四</w:t>
            </w:r>
            <w:r/>
          </w:p>
        </w:tc>
        <w:tc>
          <w:tcPr>
            <w:tcMar>
              <w:left w:w="15" w:type="dxa"/>
              <w:top w:w="15" w:type="dxa"/>
              <w:right w:w="15" w:type="dxa"/>
              <w:bottom w:w="0" w:type="dxa"/>
            </w:tcMar>
            <w:tcW w:w="1299" w:type="dxa"/>
            <w:vAlign w:val="center"/>
            <w:textDirection w:val="lrTb"/>
            <w:noWrap/>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养护巡查</w:t>
            </w:r>
            <w:r/>
          </w:p>
        </w:tc>
        <w:tc>
          <w:tcPr>
            <w:tcMar>
              <w:left w:w="15" w:type="dxa"/>
              <w:top w:w="15" w:type="dxa"/>
              <w:right w:w="15" w:type="dxa"/>
              <w:bottom w:w="0" w:type="dxa"/>
            </w:tcMar>
            <w:tcW w:w="3771" w:type="dxa"/>
            <w:vAlign w:val="center"/>
            <w:textDirection w:val="lrTb"/>
            <w:noWrap/>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广场内禁止卖艺、乞讨、拾荒及摊贩进入，禁止焚烧垃圾，损坏绿化。禁止市民靠近临水面，巡查人员发现上述情况及时制止。</w:t>
            </w:r>
            <w:r/>
          </w:p>
        </w:tc>
        <w:tc>
          <w:tcPr>
            <w:tcW w:w="1401" w:type="dxa"/>
            <w:vAlign w:val="center"/>
            <w:textDirection w:val="lrTb"/>
            <w:noWrap w:val="false"/>
          </w:tcPr>
          <w:p>
            <w:pPr>
              <w:jc w:val="center"/>
              <w:rPr>
                <w:rFonts w:ascii="仿宋" w:hAnsi="仿宋" w:eastAsia="仿宋"/>
                <w:color w:val="auto"/>
                <w:szCs w:val="21"/>
                <w:highlight w:val="none"/>
              </w:rPr>
            </w:pPr>
            <w:r>
              <w:rPr>
                <w:rFonts w:ascii="仿宋" w:hAnsi="仿宋" w:eastAsia="仿宋"/>
                <w:color w:val="auto"/>
                <w:szCs w:val="21"/>
                <w:highlight w:val="none"/>
              </w:rPr>
              <w:t xml:space="preserve">项</w:t>
            </w:r>
            <w:r/>
          </w:p>
        </w:tc>
        <w:tc>
          <w:tcPr>
            <w:tcW w:w="1041" w:type="dxa"/>
            <w:vAlign w:val="center"/>
            <w:textDirection w:val="lrTb"/>
            <w:noWrap w:val="false"/>
          </w:tcPr>
          <w:p>
            <w:pPr>
              <w:jc w:val="center"/>
              <w:rPr>
                <w:rFonts w:ascii="仿宋" w:hAnsi="仿宋" w:eastAsia="仿宋"/>
                <w:color w:val="auto"/>
                <w:szCs w:val="21"/>
                <w:highlight w:val="none"/>
              </w:rPr>
            </w:pPr>
            <w:r>
              <w:rPr>
                <w:rFonts w:hint="eastAsia" w:ascii="仿宋" w:hAnsi="仿宋" w:eastAsia="仿宋"/>
                <w:color w:val="auto"/>
                <w:szCs w:val="21"/>
                <w:highlight w:val="none"/>
              </w:rPr>
              <w:t xml:space="preserve">1</w:t>
            </w:r>
            <w:r/>
          </w:p>
        </w:tc>
        <w:tc>
          <w:tcPr>
            <w:tcMar>
              <w:left w:w="15" w:type="dxa"/>
              <w:top w:w="15" w:type="dxa"/>
              <w:right w:w="15" w:type="dxa"/>
              <w:bottom w:w="0" w:type="dxa"/>
            </w:tcMar>
            <w:tcW w:w="1134" w:type="dxa"/>
            <w:vAlign w:val="center"/>
            <w:textDirection w:val="lrTb"/>
            <w:noWrap/>
          </w:tcPr>
          <w:p>
            <w:pPr>
              <w:jc w:val="center"/>
              <w:rPr>
                <w:rFonts w:ascii="仿宋" w:hAnsi="仿宋" w:eastAsia="仿宋"/>
                <w:color w:val="auto"/>
                <w:szCs w:val="21"/>
                <w:highlight w:val="none"/>
              </w:rPr>
            </w:pPr>
            <w:r>
              <w:rPr>
                <w:rFonts w:ascii="仿宋" w:hAnsi="仿宋" w:eastAsia="仿宋"/>
                <w:color w:val="auto"/>
                <w:szCs w:val="21"/>
                <w:highlight w:val="none"/>
              </w:rPr>
            </w:r>
            <w:r/>
          </w:p>
        </w:tc>
      </w:tr>
    </w:tbl>
    <w:p>
      <w:pPr>
        <w:jc w:val="left"/>
        <w:spacing w:line="360" w:lineRule="exact"/>
        <w:rPr>
          <w:rFonts w:ascii="宋体" w:hAnsi="宋体"/>
          <w:b/>
          <w:color w:val="auto"/>
          <w:szCs w:val="21"/>
          <w:highlight w:val="none"/>
        </w:rPr>
      </w:pPr>
      <w:r>
        <w:rPr>
          <w:rFonts w:hint="eastAsia" w:ascii="仿宋" w:hAnsi="仿宋" w:eastAsia="仿宋"/>
          <w:b/>
          <w:color w:val="auto"/>
          <w:szCs w:val="21"/>
          <w:highlight w:val="none"/>
        </w:rPr>
        <w:t xml:space="preserve">注：1、以上工程量均为估算工程量，供供应商参考，具体实际养护工程量以实际踏勘为准，每包均为总价包干。</w:t>
      </w:r>
      <w:r/>
    </w:p>
    <w:p>
      <w:pPr>
        <w:pStyle w:val="878"/>
        <w:rPr>
          <w:color w:val="auto"/>
          <w:sz w:val="21"/>
          <w:szCs w:val="21"/>
          <w:highlight w:val="none"/>
        </w:rPr>
      </w:pPr>
      <w:r>
        <w:rPr>
          <w:rFonts w:hint="eastAsia"/>
          <w:color w:val="auto"/>
          <w:sz w:val="21"/>
          <w:szCs w:val="21"/>
          <w:highlight w:val="none"/>
        </w:rPr>
        <w:t xml:space="preserve">□包四</w:t>
      </w:r>
      <w:r/>
    </w:p>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表一：人员要求表</w:t>
      </w:r>
      <w:r/>
    </w:p>
    <w:p>
      <w:pPr>
        <w:jc w:val="center"/>
        <w:rPr>
          <w:rFonts w:ascii="宋体" w:hAnsi="宋体"/>
          <w:color w:val="auto"/>
          <w:szCs w:val="21"/>
          <w:highlight w:val="none"/>
        </w:rPr>
      </w:pPr>
      <w:r>
        <w:rPr>
          <w:rFonts w:hint="eastAsia" w:ascii="宋体" w:hAnsi="宋体"/>
          <w:color w:val="auto"/>
          <w:szCs w:val="21"/>
          <w:highlight w:val="none"/>
        </w:rPr>
        <w:t xml:space="preserve">（要求供应商投入人员不低于下表要求）</w:t>
      </w:r>
      <w:r/>
    </w:p>
    <w:tbl>
      <w:tblPr>
        <w:tblStyle w:val="88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3381"/>
        <w:gridCol w:w="1840"/>
        <w:gridCol w:w="1850"/>
        <w:gridCol w:w="1848"/>
      </w:tblGrid>
      <w:tr>
        <w:trPr>
          <w:jc w:val="center"/>
          <w:trHeight w:val="436" w:hRule="exact"/>
        </w:trPr>
        <w:tc>
          <w:tcPr>
            <w:tcW w:w="482"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序号</w:t>
            </w:r>
            <w:r/>
          </w:p>
        </w:tc>
        <w:tc>
          <w:tcPr>
            <w:tcW w:w="1713"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名 称</w:t>
            </w:r>
            <w:r/>
          </w:p>
        </w:tc>
        <w:tc>
          <w:tcPr>
            <w:tcW w:w="932"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单位</w:t>
            </w:r>
            <w:r/>
          </w:p>
        </w:tc>
        <w:tc>
          <w:tcPr>
            <w:tcW w:w="937"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数量</w:t>
            </w:r>
            <w:r/>
          </w:p>
        </w:tc>
        <w:tc>
          <w:tcPr>
            <w:tcW w:w="936"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备注</w:t>
            </w:r>
            <w:r/>
          </w:p>
        </w:tc>
      </w:tr>
      <w:tr>
        <w:trPr>
          <w:jc w:val="center"/>
          <w:trHeight w:val="312"/>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管理人员（含项目负责人）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人</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936" w:type="pct"/>
            <w:vAlign w:val="center"/>
            <w:vMerge w:val="restart"/>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养护人员</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人</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绿化工</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人</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0" w:type="auto"/>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bl>
    <w:p>
      <w:pPr>
        <w:jc w:val="center"/>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表二：设备要求表</w:t>
      </w:r>
      <w:r/>
    </w:p>
    <w:p>
      <w:pPr>
        <w:jc w:val="center"/>
        <w:rPr>
          <w:rFonts w:ascii="宋体" w:hAnsi="宋体"/>
          <w:color w:val="auto"/>
          <w:szCs w:val="21"/>
          <w:highlight w:val="none"/>
        </w:rPr>
      </w:pPr>
      <w:r>
        <w:rPr>
          <w:rFonts w:hint="eastAsia" w:ascii="宋体" w:hAnsi="宋体"/>
          <w:color w:val="auto"/>
          <w:szCs w:val="21"/>
          <w:highlight w:val="none"/>
        </w:rPr>
        <w:t xml:space="preserve">（要求供应商投入设备不低于下表要求）</w:t>
      </w:r>
      <w:r/>
    </w:p>
    <w:tbl>
      <w:tblPr>
        <w:tblStyle w:val="88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3381"/>
        <w:gridCol w:w="1840"/>
        <w:gridCol w:w="1850"/>
        <w:gridCol w:w="1848"/>
      </w:tblGrid>
      <w:tr>
        <w:trPr>
          <w:jc w:val="center"/>
          <w:trHeight w:val="436" w:hRule="exact"/>
        </w:trPr>
        <w:tc>
          <w:tcPr>
            <w:tcW w:w="482"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序号</w:t>
            </w:r>
            <w:r/>
          </w:p>
        </w:tc>
        <w:tc>
          <w:tcPr>
            <w:tcW w:w="1713"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名 称</w:t>
            </w:r>
            <w:r/>
          </w:p>
        </w:tc>
        <w:tc>
          <w:tcPr>
            <w:tcW w:w="932"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单位</w:t>
            </w:r>
            <w:r/>
          </w:p>
        </w:tc>
        <w:tc>
          <w:tcPr>
            <w:tcW w:w="937"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数量</w:t>
            </w:r>
            <w:r/>
          </w:p>
        </w:tc>
        <w:tc>
          <w:tcPr>
            <w:tcW w:w="936" w:type="pct"/>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备注</w:t>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巡查车辆</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辆</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0" w:type="auto"/>
            <w:vAlign w:val="center"/>
            <w:vMerge w:val="restart"/>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运输车辆</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辆</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摄像器材（含手机）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套</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割灌机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台</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电动三轮车</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辆</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吹风机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台</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绿篱机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台</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8</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打药机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台</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油锯</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套</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抽水机</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台</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312"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11</w:t>
            </w:r>
            <w:r/>
          </w:p>
        </w:tc>
        <w:tc>
          <w:tcPr>
            <w:tcW w:w="1713"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高枝油锯</w:t>
            </w:r>
            <w:r/>
          </w:p>
        </w:tc>
        <w:tc>
          <w:tcPr>
            <w:tcW w:w="93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台</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bl>
    <w:p>
      <w:pPr>
        <w:ind w:firstLine="420"/>
        <w:jc w:val="center"/>
        <w:spacing w:line="360" w:lineRule="auto"/>
        <w:rPr>
          <w:rFonts w:ascii="宋体" w:hAnsi="宋体"/>
          <w:bCs/>
          <w:color w:val="auto"/>
          <w:szCs w:val="21"/>
          <w:highlight w:val="none"/>
        </w:rPr>
      </w:pPr>
      <w:r>
        <w:rPr>
          <w:rFonts w:ascii="宋体" w:hAnsi="宋体"/>
          <w:bCs/>
          <w:color w:val="auto"/>
          <w:szCs w:val="21"/>
          <w:highlight w:val="none"/>
        </w:rPr>
      </w:r>
      <w:r/>
    </w:p>
    <w:p>
      <w:pPr>
        <w:ind w:firstLine="422"/>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表三：工程量清单</w:t>
      </w:r>
      <w:r/>
    </w:p>
    <w:tbl>
      <w:tblPr>
        <w:tblStyle w:val="88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3683"/>
        <w:gridCol w:w="1538"/>
        <w:gridCol w:w="1850"/>
        <w:gridCol w:w="1848"/>
      </w:tblGrid>
      <w:tr>
        <w:trPr>
          <w:jc w:val="center"/>
          <w:trHeight w:val="436" w:hRule="exact"/>
        </w:trPr>
        <w:tc>
          <w:tcPr>
            <w:tcW w:w="482"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序号</w:t>
            </w:r>
            <w:r/>
          </w:p>
        </w:tc>
        <w:tc>
          <w:tcPr>
            <w:tcW w:w="1866"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名 称</w:t>
            </w:r>
            <w:r/>
          </w:p>
        </w:tc>
        <w:tc>
          <w:tcPr>
            <w:tcW w:w="779"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单位</w:t>
            </w:r>
            <w:r/>
          </w:p>
        </w:tc>
        <w:tc>
          <w:tcPr>
            <w:tcW w:w="937"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工程量</w:t>
            </w:r>
            <w:r/>
          </w:p>
        </w:tc>
        <w:tc>
          <w:tcPr>
            <w:tcW w:w="936" w:type="pct"/>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备注</w:t>
            </w:r>
            <w:r/>
          </w:p>
        </w:tc>
      </w:tr>
      <w:tr>
        <w:trPr>
          <w:jc w:val="center"/>
          <w:trHeight w:val="550"/>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866"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绿地林木抚育及修整</w:t>
            </w:r>
            <w:r/>
          </w:p>
        </w:tc>
        <w:tc>
          <w:tcPr>
            <w:tcW w:w="77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m2</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1156500</w:t>
            </w:r>
            <w:r/>
          </w:p>
        </w:tc>
        <w:tc>
          <w:tcPr>
            <w:tcW w:w="936" w:type="pct"/>
            <w:vAlign w:val="center"/>
            <w:vMerge w:val="restart"/>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1、其余未尽内容及要求详见见“四、养护工作要求”。</w:t>
            </w:r>
            <w:r/>
          </w:p>
        </w:tc>
      </w:tr>
      <w:tr>
        <w:trPr>
          <w:jc w:val="center"/>
          <w:trHeight w:val="564"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1866"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杂树清理及灌木修整</w:t>
            </w:r>
            <w:r/>
          </w:p>
        </w:tc>
        <w:tc>
          <w:tcPr>
            <w:tcW w:w="77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m2</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43950</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r>
        <w:trPr>
          <w:jc w:val="center"/>
          <w:trHeight w:val="494" w:hRule="exact"/>
        </w:trPr>
        <w:tc>
          <w:tcPr>
            <w:tcW w:w="482"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866"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病虫害防治</w:t>
            </w:r>
            <w:r/>
          </w:p>
        </w:tc>
        <w:tc>
          <w:tcPr>
            <w:tcW w:w="779"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m2</w:t>
            </w:r>
            <w:r/>
          </w:p>
        </w:tc>
        <w:tc>
          <w:tcPr>
            <w:tcW w:w="937" w:type="pct"/>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1156500</w:t>
            </w:r>
            <w:r/>
          </w:p>
        </w:tc>
        <w:tc>
          <w:tcPr>
            <w:tcW w:w="0" w:type="auto"/>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r>
    </w:tbl>
    <w:p>
      <w:pPr>
        <w:jc w:val="left"/>
        <w:spacing w:line="360" w:lineRule="exact"/>
        <w:rPr>
          <w:rFonts w:ascii="宋体" w:hAnsi="宋体"/>
          <w:b/>
          <w:color w:val="auto"/>
          <w:szCs w:val="21"/>
          <w:highlight w:val="none"/>
        </w:rPr>
      </w:pPr>
      <w:r>
        <w:rPr>
          <w:rFonts w:hint="eastAsia" w:ascii="宋体" w:hAnsi="宋体"/>
          <w:b/>
          <w:color w:val="auto"/>
          <w:szCs w:val="21"/>
          <w:highlight w:val="none"/>
        </w:rPr>
        <w:t xml:space="preserve"> </w:t>
      </w:r>
      <w:r>
        <w:rPr>
          <w:rFonts w:hint="eastAsia" w:ascii="仿宋" w:hAnsi="仿宋" w:eastAsia="仿宋"/>
          <w:b/>
          <w:color w:val="auto"/>
          <w:szCs w:val="21"/>
          <w:highlight w:val="none"/>
        </w:rPr>
        <w:t xml:space="preserve">注：1、以上工程量均为估算工程量，供供应商参考，具体实际养护工程量以实际踏勘为准，每包均为总价包干。</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六、巡查内容及要求</w:t>
      </w:r>
      <w:r/>
    </w:p>
    <w:p>
      <w:pPr>
        <w:ind w:firstLine="420"/>
        <w:jc w:val="left"/>
        <w:spacing w:line="380" w:lineRule="exact"/>
        <w:rPr>
          <w:rFonts w:ascii="宋体" w:hAnsi="宋体"/>
          <w:color w:val="auto"/>
          <w:szCs w:val="21"/>
          <w:highlight w:val="none"/>
        </w:rPr>
      </w:pPr>
      <w:r>
        <w:rPr>
          <w:rFonts w:hint="eastAsia" w:ascii="宋体" w:hAnsi="宋体"/>
          <w:color w:val="auto"/>
          <w:szCs w:val="21"/>
          <w:highlight w:val="none"/>
        </w:rPr>
        <w:t xml:space="preserve">（1）河道巡查</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（一）河道堤防的巡视检查分为日常巡视检查和特别巡视检查两类。</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（二）日常巡视检查的次数：非汛期每周三次，汛期每天至少一次。</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（三）特别巡视检查：当河道堤防遇到严重影响其安全运用的情况（如发生暴雨、大洪水、有感地震、强热带风暴、持续高水位等），发生比较严重的损坏或破坏等危险迹象时，应进行特别巡视检查。</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（四）升降桩维护管理：当管理单位有工作需要时，养护单位应在接到通知后半小时内安排专人到场对升降桩进行开闭操作。</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（五）巡视检查的项目和内容：</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1．钢筋砼防洪墙</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有无裂缝、异常变形、挤碎、错断、倾斜、伸缩缝开合、止水破坏或失效、渗漏、剥蚀、脱落、露筋和其他异常。</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2．迎水坡</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护坡是否损坏；有无裂缝、剥落、滑动、隆起、塌坑、冲刷、植物滋生，近堤水面有无冒泡、变浑或旋涡等其他异常。</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3．堤顶</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有无裂缝、异常变形、积水、植物滋生；路面有无坑洼车辙、沉陷、波浪；防浪墙有无开裂、挤碎、架空、错断、倾斜、下沉等；堤肩有无雨淋沟及雨淋坑。</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4．背水坡及戗台</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有无裂缝、剥落、滑动、隆起、塌坑、雨淋沟、散浸、冒水、渗水坑或流土、管涌等；草皮护坡植被是否完好；有无兽洞、蚁穴等隐患。</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5．有关管理设施</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各类里程碑、百米桩、警示牌、行车标志、路障、路卡、道杆等设施是否整洁、完好。</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6．绿化及开发</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主要检查绿化植被的成活率、保存率情况；有无砍伐、偷盗、破坏植被情况。</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7．其他</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在河道</w:t>
      </w:r>
      <w:r>
        <w:rPr>
          <w:rFonts w:hint="eastAsia" w:ascii="宋体" w:hAnsi="宋体"/>
          <w:color w:val="auto"/>
          <w:szCs w:val="21"/>
          <w:highlight w:val="none"/>
          <w:u w:val="single"/>
        </w:rPr>
        <w:t xml:space="preserve">管理范围</w:t>
      </w:r>
      <w:r>
        <w:rPr>
          <w:rFonts w:hint="eastAsia" w:ascii="宋体" w:hAnsi="宋体"/>
          <w:color w:val="auto"/>
          <w:szCs w:val="21"/>
          <w:highlight w:val="none"/>
        </w:rPr>
        <w:t xml:space="preserve">内有无违章搭建、违章堆放、违章种植、倾倒垃圾等违章活动；非法取土、弃土或其他生产建设活动；有无坍坡、有无回流、旋涡等异常水流流态，其中分包二（</w:t>
      </w:r>
      <w:r>
        <w:rPr>
          <w:rFonts w:hint="eastAsia" w:ascii="宋体" w:hAnsi="宋体"/>
          <w:bCs/>
          <w:color w:val="auto"/>
          <w:szCs w:val="21"/>
          <w:highlight w:val="none"/>
        </w:rPr>
        <w:t xml:space="preserve">秦淮河河定桥（0+350）至秦淮新河红庙桥（8+850）</w:t>
      </w:r>
      <w:r>
        <w:rPr>
          <w:rFonts w:hint="eastAsia" w:ascii="宋体" w:hAnsi="宋体"/>
          <w:color w:val="auto"/>
          <w:szCs w:val="21"/>
          <w:highlight w:val="none"/>
        </w:rPr>
        <w:t xml:space="preserve">）中另增加对秦淮新河左岸水月秦淮小区段加强巡查，发现违建等问题及时上报要求。</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（五）巡视检查记录和处理</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1．巡视检查时应带好必要的辅助工具、记录笔簿和照相摄影器材。</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2．每次巡视检查应作出真实记录，如发现异常，应详细记述时间、桩号、部位、异常状态。</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3．现场记录必须及时整理，还应将本次巡视检查结果与以往巡视检查结果进行比较分析，如有问题或异常情况，应立即进行复查，以保证记录的准确性。</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4．日常巡视检查中发现的违章种植、简易搭建、堆放、偷倒垃圾（指零星体积不超过2立方米）等行为及时处理。发现的险情，应立即采取应急措施，并及时汇报。</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5．各种巡视检查记录表、图件、照片均应整理归档，专人负责保管。</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（2）河道养护</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（一）养护内容及标准</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1、堤顶及防汛道路。堤顶道路定期清扫，堤顶路面整洁、平整，无积水，无坑洼，堤肩平整、顺直，无垃圾、杂草、杂物。</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2、迎水坡（含临水岸水位变幅区）、背水坡及戗台。迎水坡（含临水岸水位变幅区）定时清扫，保持护坡整洁，每日不少于1次；护坡无松动、塌陷、淘空现象。雨淋沟、雨淋坑及时修复，坡面无杂草、垃圾、杂物。背水坡及戗台保持坡面整洁、平整，及时清除杂草、杂物、垃圾，每天不少于1次，无雨淋沟，无违章种植。</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3、防浪墙。墙体、压顶保持整洁，每天清扫不少于1次，沉降缝填料完好。及时发现、上报墙体损坏、墙体不均匀沉陷等现象。</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4、堆土区及护堤地。堆土区及护堤地整洁无杂物、无杂草、无种植，有巡查便道的，保持畅通。</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5、生物防护工程养护。草皮护坡及时修剪、清除杂草；保持平整美观，无高杆杂草，草皮高度一般不宜超过15厘米。新植草皮后一年内不少于3次人工拔除杂草，不得采用机械。   </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6、管理设施及堤防养护。管理设施包括里程桩、界碑、标志牌、宣传牌、护栏和限行设施等。里程桩、界碑、标牌（含疫区标志牌、警示牌、险工险段及工程标牌、工程简介牌等）、护栏、道路限行设施应在服务期内做好日常清洗、保洁及损坏修复工作，保证上述设施完整、清晰、美观。其中，道路限行设施应在服务期内每年进行1次除锈、油漆翻新等修复工作。</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对采购人提出的需进行维修的护栏维修、排水沟修补、草皮修补、动物洞穴回填等（包括但不限于上述堤防修复项目），供应商应积极响应并及时修补上述内容包含在投标报价中，不另外产生费用；特殊情况下若产生费用，需报采购人审批，过程中须完成相关审批手续后年底一次性综合考虑支付。</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7、渣土清运。及时清运养护范围内违章偷倒的渣土，发现渣土后24小时内清运完成。</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8、汛后亲水平台淤泥清理。</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9、亲水平台步道芦苇荡清理。亲水平台步道芦苇荡应及时修剪、清理，保持步道行人通行畅通，保证步道人行功能正常。</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10、包一（秦淮河东山大桥（0+000）至运粮河口（8+250）及秦淮新河新老河口（0+000）至河定桥（0+350））中，增加重点路段垃圾清运要求：新老河口河定桥右岸汽修厂段等垃圾较多处，每日重点巡查，及时清理、清运。</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11、每日养护工作实际时间不少于8小时，遇节假日、重大活动、突发事件等，供应商需无条件服从采购人安排（包括不限于增加人员、设备用于应急处置等情况）。</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包四：防护林养护工作要求</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防护绿地林木抚育和修剪整齐，长势良好，无枯死木和明显病虫害，清理林下杂草藤蔓、病树枯枝，对杂树留强去弱。</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组织专业队伍，合理配置人工、机械，进行常年规范化管养，每个作业段至少1名熟练带班技术人员和1名熟练机具操作工人，日均投入养护人员不少于</w:t>
      </w:r>
      <w:r>
        <w:rPr>
          <w:rFonts w:hint="eastAsia" w:ascii="宋体" w:hAnsi="宋体"/>
          <w:color w:val="auto"/>
          <w:szCs w:val="21"/>
          <w:highlight w:val="none"/>
        </w:rPr>
        <w:t xml:space="preserve">7人；树木、绿篱、草皮修剪养护等机具每种不少于2</w:t>
      </w:r>
      <w:r>
        <w:rPr>
          <w:rFonts w:ascii="宋体" w:hAnsi="宋体"/>
          <w:color w:val="auto"/>
          <w:szCs w:val="21"/>
          <w:highlight w:val="none"/>
        </w:rPr>
        <w:t xml:space="preserve">台、交通和清运车辆不少于2辆、病虫害防治</w:t>
      </w:r>
      <w:r>
        <w:rPr>
          <w:rFonts w:hint="eastAsia" w:ascii="宋体" w:hAnsi="宋体"/>
          <w:color w:val="auto"/>
          <w:szCs w:val="21"/>
          <w:highlight w:val="none"/>
        </w:rPr>
        <w:t xml:space="preserve">器械不少于</w:t>
      </w:r>
      <w:r>
        <w:rPr>
          <w:rFonts w:ascii="宋体" w:hAnsi="宋体"/>
          <w:color w:val="auto"/>
          <w:szCs w:val="21"/>
          <w:highlight w:val="none"/>
        </w:rPr>
        <w:t xml:space="preserve">1台、抽水机具不少于1台</w:t>
      </w:r>
      <w:r>
        <w:rPr>
          <w:rFonts w:hint="eastAsia" w:ascii="宋体" w:hAnsi="宋体"/>
          <w:color w:val="auto"/>
          <w:szCs w:val="21"/>
          <w:highlight w:val="none"/>
        </w:rPr>
        <w:t xml:space="preserve">。</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3如遇防汛、台风、暴雨、暴雪和重大环境保障等特殊情况以及投诉、媒体曝光、意外伤害等突发事件，要有应急处置措施并及时消除负面影响。</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养护标准：根据秦淮河防护林实际情况， 包括抚育管理（主要行道树及园林树木周围约1㎡块状抚育）、清理枯死木及杂树杂草、乔灌木修剪、树木修剪扶正、病虫害防治（刷白）、缺株补植等养护工作（河道蓝线范围草皮修剪、林下垃圾杂草等由河道养护项目承担），极端天气时排水或抗旱。</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树木块状抚育 </w:t>
      </w:r>
      <w:r>
        <w:rPr>
          <w:rFonts w:hint="eastAsia" w:ascii="宋体" w:hAnsi="宋体"/>
          <w:color w:val="auto"/>
          <w:szCs w:val="21"/>
          <w:highlight w:val="none"/>
        </w:rPr>
        <w:t xml:space="preserve">每年不少于</w:t>
      </w:r>
      <w:r>
        <w:rPr>
          <w:rFonts w:ascii="宋体" w:hAnsi="宋体"/>
          <w:color w:val="auto"/>
          <w:szCs w:val="21"/>
          <w:highlight w:val="none"/>
        </w:rPr>
        <w:t xml:space="preserve">2次；每年结合病虫害规律和发生情况及时喷药防治病虫害2次 </w:t>
      </w:r>
      <w:r>
        <w:rPr>
          <w:rFonts w:hint="eastAsia" w:ascii="宋体" w:hAnsi="宋体"/>
          <w:color w:val="auto"/>
          <w:szCs w:val="21"/>
          <w:highlight w:val="none"/>
        </w:rPr>
        <w:t xml:space="preserve">，药品尽量选用低毒农药杀虫、杀菌剂和保护剂）；根据采购人要求，及时清除枯死树木并补植新树；冬季</w:t>
      </w:r>
      <w:r>
        <w:rPr>
          <w:rFonts w:ascii="宋体" w:hAnsi="宋体"/>
          <w:color w:val="auto"/>
          <w:szCs w:val="21"/>
          <w:highlight w:val="none"/>
        </w:rPr>
        <w:t xml:space="preserve">12月前对全部树木全面刷白1次。</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及时对树木修剪，每年1次（冬或早春，轻修剪）；花灌木、球形植物及行道树和庭院至少2次。林木在河道堤顶范围对人、车通行无阻挡及影响，对管线不发生干扰。遭遇降雨、降雪、台风等极端恶劣天气时，养护单位应增加人员设施投入，及时清理断枝和倒伏树木。</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7</w:t>
      </w:r>
      <w:r>
        <w:rPr>
          <w:rFonts w:ascii="宋体" w:hAnsi="宋体"/>
          <w:color w:val="auto"/>
          <w:szCs w:val="21"/>
          <w:highlight w:val="none"/>
        </w:rPr>
        <w:t xml:space="preserve">保持防护林及庭院绿化整洁，修剪垃圾（如树枝、树叶、草屑等）能及时清运。</w:t>
      </w:r>
      <w:r/>
    </w:p>
    <w:p>
      <w:pPr>
        <w:ind w:firstLine="420"/>
        <w:rPr>
          <w:rFonts w:ascii="宋体" w:hAnsi="宋体" w:cs="宋体"/>
          <w:color w:val="auto"/>
          <w:szCs w:val="21"/>
          <w:highlight w:val="none"/>
        </w:rPr>
      </w:pPr>
      <w:r>
        <w:rPr>
          <w:rFonts w:hint="eastAsia" w:ascii="宋体" w:hAnsi="宋体"/>
          <w:color w:val="auto"/>
          <w:szCs w:val="21"/>
          <w:highlight w:val="none"/>
        </w:rPr>
        <w:t xml:space="preserve">8</w:t>
      </w:r>
      <w:r>
        <w:rPr>
          <w:rFonts w:hint="eastAsia" w:ascii="宋体" w:hAnsi="宋体" w:cs="宋体"/>
          <w:color w:val="auto"/>
          <w:szCs w:val="21"/>
          <w:highlight w:val="none"/>
        </w:rPr>
        <w:t xml:space="preserve">乔木长势茂盛，规格整齐，树干挺直，定干高度一致，树冠丰满，观花树木按时茂盛开花，观果树木正常结果；无枯断枝、交叉枝、过密枝、并生枝、病虫枝、主干上无萌蘖枝；修剪、除萌、剥芽及时，枝条修剪截面平整，不留短桩（截面直径大于6cm的伤口涂防腐剂）；无明显病虫害，树干无未处理的腐洞，树体无明显的钉挂物、悬挂物；树穴设施完好，黄土不裸露，无杂草、杂物，树池内种植土要低于树池顶沿5cm；无死株、缺株、严重倾斜株；新栽、补栽的树木和易倒伏的树木应设立扶木支撑，绑扎规范有效；按照操作规程能及时的对树木进行冬季刷白。</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9植物浇水及时，按照规范及时施肥（每年休眠期施基肥，生长期施2-3次追肥，操作规范，施肥后技术覆盖，施肥方法适当，用量合理，不产生肥害）。</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10</w:t>
      </w:r>
      <w:r>
        <w:rPr>
          <w:rFonts w:ascii="宋体" w:hAnsi="宋体"/>
          <w:color w:val="auto"/>
          <w:szCs w:val="21"/>
          <w:highlight w:val="none"/>
        </w:rPr>
        <w:t xml:space="preserve">定期组织对防护林的调查、记录，制定年度更新改造和病虫害防治计划，编制月度</w:t>
      </w:r>
      <w:r>
        <w:rPr>
          <w:rFonts w:hint="eastAsia" w:ascii="宋体" w:hAnsi="宋体"/>
          <w:color w:val="auto"/>
          <w:szCs w:val="21"/>
          <w:highlight w:val="none"/>
        </w:rPr>
        <w:t xml:space="preserve">养护管理计划，每日上报作业台账。</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11每日养护工作实际时间不少于8小时，遇节假日、重大活动、突发事件等，供应商需无条件服从采购人安排（包括不限于增加人员、设备用于应急处置等情况）。</w:t>
      </w:r>
      <w:r/>
    </w:p>
    <w:p>
      <w:pPr>
        <w:ind w:firstLine="420"/>
        <w:rPr>
          <w:rFonts w:ascii="宋体" w:hAnsi="宋体"/>
          <w:color w:val="auto"/>
          <w:szCs w:val="21"/>
          <w:highlight w:val="none"/>
        </w:rPr>
      </w:pPr>
      <w:r>
        <w:rPr>
          <w:rFonts w:hint="eastAsia" w:ascii="宋体" w:hAnsi="宋体"/>
          <w:color w:val="auto"/>
          <w:szCs w:val="21"/>
          <w:highlight w:val="none"/>
        </w:rPr>
        <w:t xml:space="preserve">包四：防护林巡视检查记录和处理</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1．巡视检查时应带好必要的辅助工具、记录笔簿和照相摄影器材。</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2．每次巡视检查应作出真实记录，如发现异常，应详细记述时间、桩号、部位、异常状态。</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3．现场记录必须及时整理，还应将本次巡视检查结果与以往巡视检查结果进行比较分析，如有问题或异常情况，应立即进行复查，以保证记录的准确性。</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4．日常巡视检查中发现的树木倒伏、枯死等情况上报管理处核实及时处理。针对树木倒伏影响行人安全的险情，应立即采取应急措施，并及时汇报。</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5．各种巡视检查记录表、图件、照片均应整理归档，专人负责保管。</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（二）养护范围</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河道堤防养护范围为河道管理范围（含临水岸水位变幅区），巡查含河道保护范围。</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秦淮河、秦淮新河管理范围：执行宁水办运管【2019】206号文中规定的范围。</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保护范围为管理范围外40米</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（三）养护工作记录和报告</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①、养护单位应做好养护工作记录，详细记述时间、桩号、部位、养护工作内容、投入情况、养护后状况，并绘出草图。</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②、每年年终总结养护工作报告。</w:t>
      </w:r>
      <w:r/>
    </w:p>
    <w:p>
      <w:pPr>
        <w:ind w:firstLine="420"/>
        <w:spacing w:line="380" w:lineRule="exact"/>
        <w:rPr>
          <w:rFonts w:ascii="宋体" w:hAnsi="宋体"/>
          <w:color w:val="auto"/>
          <w:szCs w:val="21"/>
          <w:highlight w:val="none"/>
        </w:rPr>
      </w:pPr>
      <w:r>
        <w:rPr>
          <w:rFonts w:hint="eastAsia" w:ascii="宋体" w:hAnsi="宋体"/>
          <w:color w:val="auto"/>
          <w:szCs w:val="21"/>
          <w:highlight w:val="none"/>
        </w:rPr>
        <w:t xml:space="preserve">③、各种养护工作记录、图件和报告等均应整理归档。</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七、养护考核</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1.考核时间：养护考核分为月度和年度考核。月度考核原则上于当月下旬考核，年度考核原则上于合同期限内最末月下旬进行，如遇特殊情况，可适当提前或推迟。</w:t>
      </w:r>
      <w:r>
        <w:rPr>
          <w:rFonts w:hint="eastAsia" w:ascii="宋体" w:hAnsi="宋体" w:cs="宋体"/>
          <w:color w:val="auto"/>
          <w:szCs w:val="21"/>
          <w:highlight w:val="none"/>
        </w:rPr>
        <w:t xml:space="preserve">（考核办法根据采购人要求执行）</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2.考核方式：通过现场检查、听取汇报、查看资料等进行综合评分。</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3.考核评分：各养护考核项目满分均为100分，每月考核由管理处领导、工管科科长、养护负责人以及养护责任段具体负责人组成考核小组进行评分，同时综合沿河街道及群众调查问卷结果进行评分汇总。评分汇总后按管理处考核小组占比80%，沿河街道及市民各占比10%计算总分。</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4.考核等级：</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（1）考核得分90分及其以上为优秀，85-89分为合格，70-84分为基本合格，69分以下为不合格。</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在月度考核中管理处向养护单位提出的反馈意见，在下一个月度养护单位因主观原因未整改到位的或拒不整改的，则下月考核直接认定为不合格；一个考核年度内月度考核累计有两次考核不合格，自动解除合同，并扣除当月养护经费。</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（3）一个考核年度内无不合格月份且基本合格月份少于3次的，则年度考核自动认定为合格；一个考核年度内至多有一个不合格月份或基本合格月份多于2次的，则年度考核认定为基本合格。</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一票否决项：</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（4）管理处在日常管理中针对养护工作向养护单位提出意见，养护单位无合理理由未能反馈并及时整改到位的（三天内），则直接认定为当月考核不合格。</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（5）未经批准养护单位擅自砍伐河道树木的，自动解除合同，并扣除当月养护经费，另行选择其它养护单位，同时向上级主管部门汇报，取消该养护单位参加下年度该养护项目投标的资格。</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（6） 因养护单位主观原因造成的媒体曝光、12345投诉、市水务局及以上领导责令整改等情况，一个月内发生2次以上的，视整改情况认定为月度考核不合格或基本合格。</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（7）养护单位由于内部管理不到位发生安全生产事故的，自动解除合同，并扣除当月养护经费，另行选择其他养护单位，同时向上级主管部门汇报，取消该养护单位参加下年度该养护项目投标的资格。</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5.考核奖惩：</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1）各养护项目凡出现月度考核不合格情况，由管理处启动调查问责程序，确属管理处相关责任人未履职尽责到位的，则对责任人进行提醒谈话；同个责任人所负责的养护项目一年内累计出现3次月度考核不合格的情况，又均因责任人履职不到位产生，则对责任人作扣减奖励性绩效处罚。</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（2）养护项目年度考核优秀，则对管理处相关责任人和工管科进行通报表扬，并在个人年度考核和科室年度考核中作加分处理。</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3）管理处在当月日常巡查过程中发现同一堤段养护不到位或同一养护问题（无合理理由）2次及以上，扣减该段养护单位月度养护经费2000元，如发现两个堤段（以桥为界）及以上养护不合格，扣减该段养护单位月度养护经费2000元。</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（4）因养护单位主观原因造成的媒体曝光、12345投诉。养护单位接到我处通知后当天内完成整改，据情况给予养护单位罚款300-500元，一个月内罚款次数不超过3次。</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（5）因养护单位主观原因造成的，当日同一地点发现养护问题2次以上，给予养护单位罚款300-500元，当月内罚款次数不超过3次。</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（6）对因养护工作不到位被约谈的养护单位，给予1000元罚款，</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（7）年度由管理处组织优秀养护单位评比，综合养护单位年度、月度考核结果，评选出优秀养护单位及优秀个人，由管理处授予奖牌、奖状及奖金。</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6.考核通报：每月下旬召开养护考核会议，次月初向养护单位通报本月考核成绩，提出反馈意见。养护单位根据考核结果制定整改措施，在下月养护工作中逐一整改到位。群众调查、街道调查工作由处工管科负责实施，考核结果由工管科负责统计整理。</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八、项目人员其他约定</w:t>
      </w:r>
      <w:r/>
    </w:p>
    <w:p>
      <w:pPr>
        <w:ind w:left="420"/>
        <w:spacing w:line="440" w:lineRule="exact"/>
        <w:rPr>
          <w:rFonts w:ascii="宋体" w:hAnsi="宋体"/>
          <w:color w:val="auto"/>
          <w:szCs w:val="21"/>
          <w:highlight w:val="none"/>
        </w:rPr>
      </w:pPr>
      <w:r>
        <w:rPr>
          <w:rFonts w:hint="eastAsia" w:ascii="宋体" w:hAnsi="宋体"/>
          <w:color w:val="auto"/>
          <w:szCs w:val="21"/>
          <w:highlight w:val="none"/>
        </w:rPr>
        <w:t xml:space="preserve">1．如遇重大活动或节假日或其它突发事件，乙方必须按照甲方要求增加保洁人员和设备，确保河道堤防环境，若乙方未响应甲方要求，甲方有权扣除其合同价款。</w:t>
      </w:r>
      <w:r/>
    </w:p>
    <w:p>
      <w:pPr>
        <w:ind w:left="420"/>
        <w:spacing w:line="440" w:lineRule="exac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巡查养护保洁人员必须统一穿着醒目服装，挂牌上岗，所有费用均包含在乙方的投标报价中，若甲方在项目实施过程中发现乙方巡查养护保洁人员着装不满足甲方要求，甲方友情提醒两次后未整改，甲方有权扣除其合同价款。</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九、支付办法</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1.养护经费以月为支付单元，每月支付一次。</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2.月度考核为优秀、合格，支付当月养护款项的100%。</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3.月度考核为基本合格，扣减当月养护款项3000元，限期整改验收合格后，次月经处主任办公会讨论同意后支付扣减费用；限期整改为基本合格或不合格，则不予支付扣减费用。</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4.月度养护考核不合格，扣减当月养护款项5000元，限期整改验收合格后，次月经处主任办公会讨论同意后支付扣减费用；限期整改不到位，则扣除当月全部养护款项。</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十、双方权利与义务</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（1）甲方权利和义务</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对河道堤防巡查养护工作进行指导，发现问题及时通知乙方进行整改；成立“秦淮河河道堤防项目考核组”，及时进行月度和年度考核。</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（2）乙方权利和义务</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详见采购文件中要求招标项目的技术规格、要求和数量等。</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十一、违约责任</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1、甲方无正当理由拒付合同款的,甲方应向乙方支付拒付合同款全额5% 的违约金。</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2、甲方延期付款（有正当拒付理由除外），应向乙方偿付拖欠款项的违约金，金额每日按逾期款金额的万分之三计算。</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3、乙方实施下列行为之一的，乙方应向甲方支付合同总价5%的违约金，甲方有权解除合同，并有权要求乙方赔偿损失。</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①提供的服务不满足考核要求。</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②未完成合同约定的服务任务，甲方根据条款规定，视乙方违反规定的情节轻重，做出批评教育、警告、扣罚处理；情况严重者，甲方有权单方终止本合同，乙方自行承担一切经济损失和法律责任。</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4、由于不可抗力原因使甲、乙方无法履约，可不执行违约责任条款，由双方协商解决。</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5、上述违约金不能补偿对方损失时，双方有权向对方追索实际损失的赔偿金。</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十二、合同的变更和终止</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1、除《政府采购法》第50条第二款规定的情形外，本合同一经签订，甲乙双方不得擅自变更、中止或终止合同。</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2、除发生法律规定的不能预见、不能避免并不能克服的客观情况外，甲乙双方不得放弃或拒绝履行合同。</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3、甲方考核不合格，可以按照合同约定的情形解除和终止合同。</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十三、争议解决</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1、因履行本合同引起的或与本合同有关的争议，甲、乙双方应首先通过友好协商解决，如果协商不能解决争议，则采取以下第（2）种方式解决争议：</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（1）向甲方所在地有管辖权的人民法院提起诉讼；</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（2）向南京仲裁委员会按其仲裁规则申请仲裁。</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3、在仲裁期间，本合同应继续履行。</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十四、诚实信用</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甲乙双方应诚实信用，严格按照采购文件要求和承诺履行合同，乙方不得向甲方进行商业贿赂或者提供不正当利益。</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十五、合同生效及其他</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1、本合同自签订之日起生效。</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2、本合同一式六份，甲乙双方各执两份，一份交政府采购代理机构存档，一份报送政府采购监督管理部门备案。</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3、本合同应按照中华人民共和国的现行法律进行解释。</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十六、其他约定</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1、乙方向甲方出示本项目所有人员的劳务合同原件、身份证原件，并将劳务合同复印件、身份证复印件交甲方备案。</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2、乙方向甲方出示管理人员资格证书原件（必要时），并将复印件交甲方备案。</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3、乙方应自觉接受甲方及有关部门对合同履行情况的监督和考核，接受甲方考核制度及奖惩制度的规定。</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4、乙方的管理人员调整，应提前3天书面通知甲方。经甲方同意后，出示新来管理人员的劳务合同原件、身份证原件，并将劳务合同复印件、身份证复印件送甲方备案。</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5、乙方在考核、检查等各项活动中，做到各项检查合格并力争创优争先。</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6、合同期内甲方需增加同类服务工作量的，甲乙双方按照法律规定另行约定。</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7、乙方应按规定做好安全作业等相关工作，并承担任何在承包期内所有河道养护人员（含管理人员）安全责任事故的全部责任。</w:t>
      </w:r>
      <w:r/>
    </w:p>
    <w:p>
      <w:pPr>
        <w:spacing w:line="360" w:lineRule="auto"/>
        <w:rPr>
          <w:rFonts w:ascii="宋体" w:hAnsi="宋体"/>
          <w:color w:val="auto"/>
          <w:szCs w:val="21"/>
          <w:highlight w:val="none"/>
        </w:rPr>
      </w:pPr>
      <w:r>
        <w:rPr>
          <w:rFonts w:ascii="宋体" w:hAnsi="宋体"/>
          <w:color w:val="auto"/>
          <w:szCs w:val="21"/>
          <w:highlight w:val="none"/>
        </w:rPr>
      </w:r>
      <w:r/>
    </w:p>
    <w:tbl>
      <w:tblPr>
        <w:tblStyle w:val="885"/>
        <w:tblW w:w="94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251"/>
        <w:gridCol w:w="4199"/>
      </w:tblGrid>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249" w:type="dxa"/>
            <w:textDirection w:val="lrTb"/>
            <w:noWrap w:val="false"/>
          </w:tcPr>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甲方（采购人）：（盖章）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98" w:type="dxa"/>
            <w:textDirection w:val="lrTb"/>
            <w:noWrap w:val="false"/>
          </w:tcPr>
          <w:p>
            <w:pPr>
              <w:ind w:firstLine="630"/>
              <w:spacing w:line="360" w:lineRule="auto"/>
              <w:rPr>
                <w:rFonts w:ascii="宋体" w:hAnsi="宋体"/>
                <w:color w:val="auto"/>
                <w:szCs w:val="21"/>
                <w:highlight w:val="none"/>
              </w:rPr>
            </w:pPr>
            <w:r>
              <w:rPr>
                <w:rFonts w:hint="eastAsia" w:ascii="宋体" w:hAnsi="宋体"/>
                <w:color w:val="auto"/>
                <w:szCs w:val="21"/>
                <w:highlight w:val="none"/>
              </w:rPr>
              <w:t xml:space="preserve">乙方（供应商）：（盖章）</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249" w:type="dxa"/>
            <w:textDirection w:val="lrTb"/>
            <w:noWrap w:val="false"/>
          </w:tcPr>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法定代表人或授权委托人：（签字）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98" w:type="dxa"/>
            <w:textDirection w:val="lrTb"/>
            <w:noWrap w:val="false"/>
          </w:tcPr>
          <w:p>
            <w:pPr>
              <w:ind w:firstLine="600"/>
              <w:spacing w:line="360" w:lineRule="auto"/>
              <w:rPr>
                <w:rFonts w:ascii="宋体" w:hAnsi="宋体"/>
                <w:color w:val="auto"/>
                <w:szCs w:val="21"/>
                <w:highlight w:val="none"/>
              </w:rPr>
            </w:pPr>
            <w:r>
              <w:rPr>
                <w:rFonts w:hint="eastAsia" w:ascii="宋体" w:hAnsi="宋体"/>
                <w:color w:val="auto"/>
                <w:szCs w:val="21"/>
                <w:highlight w:val="none"/>
              </w:rPr>
              <w:t xml:space="preserve">法定代表人或授权委托人：（签字）</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249" w:type="dxa"/>
            <w:textDirection w:val="lrTb"/>
            <w:noWrap w:val="false"/>
          </w:tcPr>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电    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98" w:type="dxa"/>
            <w:textDirection w:val="lrTb"/>
            <w:noWrap w:val="false"/>
          </w:tcPr>
          <w:p>
            <w:pPr>
              <w:ind w:firstLine="600"/>
              <w:spacing w:line="360" w:lineRule="auto"/>
              <w:rPr>
                <w:rFonts w:ascii="宋体" w:hAnsi="宋体"/>
                <w:color w:val="auto"/>
                <w:szCs w:val="21"/>
                <w:highlight w:val="none"/>
              </w:rPr>
            </w:pPr>
            <w:r>
              <w:rPr>
                <w:rFonts w:hint="eastAsia" w:ascii="宋体" w:hAnsi="宋体"/>
                <w:color w:val="auto"/>
                <w:szCs w:val="21"/>
                <w:highlight w:val="none"/>
              </w:rPr>
              <w:t xml:space="preserve">电    话：</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249" w:type="dxa"/>
            <w:textDirection w:val="lrTb"/>
            <w:noWrap w:val="false"/>
          </w:tcPr>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98" w:type="dxa"/>
            <w:textDirection w:val="lrTb"/>
            <w:noWrap w:val="false"/>
          </w:tcPr>
          <w:p>
            <w:pPr>
              <w:ind w:firstLine="600"/>
              <w:spacing w:line="360" w:lineRule="auto"/>
              <w:rPr>
                <w:rFonts w:ascii="宋体" w:hAnsi="宋体"/>
                <w:color w:val="auto"/>
                <w:szCs w:val="21"/>
                <w:highlight w:val="none"/>
              </w:rPr>
            </w:pPr>
            <w:r>
              <w:rPr>
                <w:rFonts w:hint="eastAsia" w:ascii="宋体" w:hAnsi="宋体"/>
                <w:color w:val="auto"/>
                <w:szCs w:val="21"/>
                <w:highlight w:val="none"/>
              </w:rPr>
              <w:t xml:space="preserve">开户银行：</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249" w:type="dxa"/>
            <w:textDirection w:val="lrTb"/>
            <w:noWrap w:val="false"/>
          </w:tcPr>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帐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98" w:type="dxa"/>
            <w:textDirection w:val="lrTb"/>
            <w:noWrap w:val="false"/>
          </w:tcPr>
          <w:p>
            <w:pPr>
              <w:ind w:firstLine="600"/>
              <w:spacing w:line="360" w:lineRule="auto"/>
              <w:rPr>
                <w:rFonts w:ascii="宋体" w:hAnsi="宋体"/>
                <w:color w:val="auto"/>
                <w:szCs w:val="21"/>
                <w:highlight w:val="none"/>
              </w:rPr>
            </w:pPr>
            <w:r>
              <w:rPr>
                <w:rFonts w:hint="eastAsia" w:ascii="宋体" w:hAnsi="宋体"/>
                <w:color w:val="auto"/>
                <w:szCs w:val="21"/>
                <w:highlight w:val="none"/>
              </w:rPr>
              <w:t xml:space="preserve">帐    号：</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249" w:type="dxa"/>
            <w:textDirection w:val="lrTb"/>
            <w:noWrap w:val="false"/>
          </w:tcPr>
          <w:p>
            <w:pPr>
              <w:ind w:firstLine="600"/>
              <w:spacing w:line="360" w:lineRule="auto"/>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98" w:type="dxa"/>
            <w:textDirection w:val="lrTb"/>
            <w:noWrap w:val="false"/>
          </w:tcPr>
          <w:p>
            <w:pPr>
              <w:ind w:firstLine="600"/>
              <w:spacing w:line="360" w:lineRule="auto"/>
              <w:rPr>
                <w:rFonts w:ascii="宋体" w:hAnsi="宋体"/>
                <w:color w:val="auto"/>
                <w:szCs w:val="21"/>
                <w:highlight w:val="none"/>
              </w:rPr>
            </w:pPr>
            <w:r>
              <w:rPr>
                <w:rFonts w:ascii="宋体" w:hAnsi="宋体" w:cs="Calibri"/>
                <w:color w:val="auto"/>
                <w:szCs w:val="21"/>
                <w:highlight w:val="none"/>
              </w:rPr>
              <w:t xml:space="preserve"> </w:t>
            </w:r>
            <w:r/>
          </w:p>
        </w:tc>
      </w:tr>
      <w:tr>
        <w:trPr>
          <w:jc w:val="center"/>
          <w:trHeight w:val="70"/>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447" w:type="dxa"/>
            <w:textDirection w:val="lrTb"/>
            <w:noWrap w:val="false"/>
          </w:tcPr>
          <w:p>
            <w:pPr>
              <w:jc w:val="right"/>
              <w:spacing w:line="360" w:lineRule="auto"/>
              <w:rPr>
                <w:rFonts w:ascii="宋体" w:hAnsi="宋体"/>
                <w:color w:val="auto"/>
                <w:szCs w:val="21"/>
                <w:highlight w:val="none"/>
              </w:rPr>
            </w:pPr>
            <w:r>
              <w:rPr>
                <w:rFonts w:hint="eastAsia" w:ascii="宋体" w:hAnsi="宋体"/>
                <w:color w:val="auto"/>
                <w:szCs w:val="21"/>
                <w:highlight w:val="none"/>
              </w:rPr>
              <w:t xml:space="preserve">日期：     年    月    日</w:t>
            </w:r>
            <w:r/>
          </w:p>
          <w:p>
            <w:pPr>
              <w:ind w:firstLine="600"/>
              <w:jc w:val="right"/>
              <w:spacing w:line="360" w:lineRule="auto"/>
              <w:rPr>
                <w:rFonts w:ascii="宋体" w:hAnsi="宋体"/>
                <w:color w:val="auto"/>
                <w:szCs w:val="21"/>
                <w:highlight w:val="none"/>
              </w:rPr>
            </w:pPr>
            <w:r>
              <w:rPr>
                <w:rFonts w:ascii="宋体" w:hAnsi="宋体" w:cs="Calibri"/>
                <w:color w:val="auto"/>
                <w:szCs w:val="21"/>
                <w:highlight w:val="none"/>
              </w:rPr>
              <w:t xml:space="preserve"> </w:t>
            </w:r>
            <w:r/>
          </w:p>
        </w:tc>
      </w:tr>
    </w:tbl>
    <w:p>
      <w:pPr>
        <w:jc w:val="center"/>
        <w:spacing w:line="360" w:lineRule="auto"/>
        <w:rPr>
          <w:color w:val="auto"/>
          <w:szCs w:val="21"/>
          <w:highlight w:val="none"/>
        </w:rPr>
      </w:pPr>
      <w:r>
        <w:rPr>
          <w:rFonts w:ascii="宋体" w:hAnsi="宋体"/>
          <w:bCs/>
          <w:color w:val="auto"/>
          <w:sz w:val="24"/>
          <w:highlight w:val="none"/>
        </w:rPr>
        <w:br w:type="page" w:clear="all"/>
      </w:r>
      <w:r>
        <w:rPr>
          <w:rFonts w:hint="eastAsia" w:ascii="宋体" w:hAnsi="宋体"/>
          <w:bCs/>
          <w:color w:val="auto"/>
          <w:sz w:val="24"/>
          <w:highlight w:val="none"/>
        </w:rPr>
        <w:t xml:space="preserve">《</w:t>
      </w:r>
      <w:r>
        <w:rPr>
          <w:rFonts w:hint="eastAsia"/>
          <w:color w:val="auto"/>
          <w:szCs w:val="21"/>
          <w:highlight w:val="none"/>
        </w:rPr>
        <w:t xml:space="preserve">*******合同》补充协议（合同附件）</w:t>
      </w:r>
      <w:r/>
    </w:p>
    <w:p>
      <w:pPr>
        <w:jc w:val="center"/>
        <w:spacing w:line="360" w:lineRule="auto"/>
        <w:rPr>
          <w:color w:val="auto"/>
          <w:szCs w:val="21"/>
          <w:highlight w:val="none"/>
        </w:rPr>
      </w:pPr>
      <w:r>
        <w:rPr>
          <w:rFonts w:hint="eastAsia"/>
          <w:color w:val="auto"/>
          <w:szCs w:val="21"/>
          <w:highlight w:val="none"/>
        </w:rPr>
        <w:t xml:space="preserve">招标文件及合同未约定事项，双方可友好协商签订补充协议。</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875"/>
        <w:keepLines w:val="0"/>
        <w:keepNext w:val="0"/>
        <w:pageBreakBefore/>
        <w:spacing w:before="0" w:after="0" w:line="360" w:lineRule="auto"/>
        <w:rPr>
          <w:rStyle w:val="938"/>
          <w:rFonts w:ascii="黑体" w:hAnsi="黑体" w:eastAsia="黑体" w:cs="黑体"/>
          <w:b w:val="0"/>
          <w:bCs w:val="0"/>
          <w:color w:val="auto"/>
          <w:sz w:val="32"/>
          <w:szCs w:val="32"/>
          <w:highlight w:val="none"/>
          <w:lang w:val="zh-CN"/>
        </w:rPr>
      </w:pPr>
      <w:r/>
      <w:bookmarkStart w:id="46" w:name="_Toc15104"/>
      <w:r>
        <w:rPr>
          <w:rStyle w:val="938"/>
          <w:rFonts w:hint="eastAsia" w:ascii="黑体" w:hAnsi="黑体" w:eastAsia="黑体" w:cs="黑体"/>
          <w:b w:val="0"/>
          <w:bCs w:val="0"/>
          <w:color w:val="auto"/>
          <w:sz w:val="32"/>
          <w:szCs w:val="32"/>
          <w:highlight w:val="none"/>
          <w:lang w:val="zh-CN"/>
        </w:rPr>
        <w:t xml:space="preserve">第六章 投标文件格式</w:t>
      </w:r>
      <w:bookmarkEnd w:id="46"/>
      <w:r/>
      <w:r/>
    </w:p>
    <w:p>
      <w:pPr>
        <w:pStyle w:val="891"/>
        <w:ind w:firstLine="400"/>
        <w:spacing w:line="360" w:lineRule="auto"/>
        <w:rPr>
          <w:rStyle w:val="997"/>
          <w:rFonts w:ascii="宋体" w:hAnsi="宋体"/>
          <w:color w:val="auto"/>
          <w:sz w:val="20"/>
          <w:highlight w:val="none"/>
        </w:rPr>
      </w:pPr>
      <w:r>
        <w:rPr>
          <w:rFonts w:ascii="宋体" w:hAnsi="宋体"/>
          <w:color w:val="auto"/>
          <w:sz w:val="20"/>
          <w:highlight w:val="none"/>
        </w:rPr>
      </w:r>
      <w:r/>
    </w:p>
    <w:p>
      <w:pPr>
        <w:jc w:val="center"/>
        <w:spacing w:line="360" w:lineRule="auto"/>
        <w:rPr>
          <w:rFonts w:ascii="宋体" w:hAnsi="宋体"/>
          <w:b/>
          <w:color w:val="auto"/>
          <w:sz w:val="72"/>
          <w:highlight w:val="none"/>
        </w:rPr>
        <w:outlineLvl w:val="0"/>
      </w:pPr>
      <w:r/>
      <w:bookmarkStart w:id="47" w:name="_Toc23489"/>
      <w:r/>
      <w:bookmarkStart w:id="48" w:name="_Toc3824_WPSOffice_Level1"/>
      <w:r>
        <w:rPr>
          <w:rFonts w:hint="eastAsia" w:ascii="宋体" w:hAnsi="宋体"/>
          <w:b/>
          <w:color w:val="auto"/>
          <w:sz w:val="72"/>
          <w:highlight w:val="none"/>
        </w:rPr>
        <w:t xml:space="preserve">投  标  文  件</w:t>
      </w:r>
      <w:bookmarkEnd w:id="47"/>
      <w:r/>
      <w:bookmarkEnd w:id="48"/>
      <w:r/>
      <w:r/>
    </w:p>
    <w:p>
      <w:pPr>
        <w:ind w:firstLine="3708"/>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outlineLvl w:val="0"/>
      </w:pPr>
      <w:r/>
      <w:bookmarkStart w:id="49" w:name="_Toc21865_WPSOffice_Level1"/>
      <w:r/>
      <w:bookmarkStart w:id="50" w:name="_Toc13200"/>
      <w:r>
        <w:rPr>
          <w:rFonts w:hint="eastAsia" w:ascii="宋体" w:hAnsi="宋体"/>
          <w:b/>
          <w:color w:val="auto"/>
          <w:sz w:val="36"/>
          <w:highlight w:val="none"/>
        </w:rPr>
        <w:t xml:space="preserve">项 目 编号：</w:t>
      </w:r>
      <w:bookmarkEnd w:id="49"/>
      <w:r/>
      <w:bookmarkEnd w:id="50"/>
      <w:r>
        <w:rPr>
          <w:rFonts w:hint="eastAsia" w:ascii="宋体" w:hAnsi="宋体"/>
          <w:b/>
          <w:color w:val="auto"/>
          <w:sz w:val="36"/>
          <w:highlight w:val="none"/>
        </w:rPr>
        <w:t xml:space="preserve"> </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outlineLvl w:val="0"/>
      </w:pPr>
      <w:r/>
      <w:bookmarkStart w:id="51" w:name="_Toc28632"/>
      <w:r/>
      <w:bookmarkStart w:id="52" w:name="_Toc23302_WPSOffice_Level1"/>
      <w:r>
        <w:rPr>
          <w:rFonts w:hint="eastAsia" w:ascii="宋体" w:hAnsi="宋体"/>
          <w:b/>
          <w:color w:val="auto"/>
          <w:sz w:val="36"/>
          <w:highlight w:val="none"/>
        </w:rPr>
        <w:t xml:space="preserve">项 目 名称：</w:t>
      </w:r>
      <w:bookmarkEnd w:id="51"/>
      <w:r/>
      <w:bookmarkEnd w:id="52"/>
      <w:r>
        <w:rPr>
          <w:rFonts w:hint="eastAsia" w:ascii="宋体" w:hAnsi="宋体"/>
          <w:b/>
          <w:color w:val="auto"/>
          <w:sz w:val="36"/>
          <w:highlight w:val="none"/>
        </w:rPr>
        <w:t xml:space="preserve"> </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outlineLvl w:val="0"/>
      </w:pPr>
      <w:r>
        <w:rPr>
          <w:rFonts w:ascii="宋体" w:hAnsi="宋体"/>
          <w:b/>
          <w:color w:val="auto"/>
          <w:sz w:val="36"/>
          <w:highlight w:val="none"/>
          <w:u w:val="single"/>
        </w:rPr>
      </w:r>
      <w:r/>
    </w:p>
    <w:p>
      <w:pP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u w:val="single"/>
        </w:rPr>
        <w:outlineLvl w:val="0"/>
      </w:pPr>
      <w:r>
        <w:rPr>
          <w:rFonts w:hint="eastAsia" w:ascii="宋体" w:hAnsi="宋体"/>
          <w:b/>
          <w:color w:val="auto"/>
          <w:sz w:val="36"/>
          <w:highlight w:val="none"/>
        </w:rPr>
        <w:t xml:space="preserve">       </w:t>
      </w:r>
      <w:bookmarkStart w:id="53" w:name="_Toc23058"/>
      <w:r/>
      <w:bookmarkStart w:id="54" w:name="_Toc7622_WPSOffice_Level1"/>
      <w:r>
        <w:rPr>
          <w:rFonts w:hint="eastAsia" w:ascii="宋体" w:hAnsi="宋体"/>
          <w:b/>
          <w:color w:val="auto"/>
          <w:sz w:val="36"/>
          <w:highlight w:val="none"/>
        </w:rPr>
        <w:t xml:space="preserve">供应商名称：</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（盖章）</w:t>
      </w:r>
      <w:bookmarkEnd w:id="53"/>
      <w:r/>
      <w:bookmarkEnd w:id="54"/>
      <w:r>
        <w:rPr>
          <w:rFonts w:hint="eastAsia" w:ascii="宋体" w:hAnsi="宋体"/>
          <w:b/>
          <w:color w:val="auto"/>
          <w:sz w:val="36"/>
          <w:highlight w:val="none"/>
        </w:rPr>
        <w:t xml:space="preserve"> </w:t>
      </w:r>
      <w:r/>
    </w:p>
    <w:p>
      <w:pPr>
        <w:spacing w:line="360" w:lineRule="auto"/>
        <w:rPr>
          <w:rFonts w:ascii="宋体" w:hAnsi="宋体"/>
          <w:b/>
          <w:color w:val="auto"/>
          <w:sz w:val="36"/>
          <w:highlight w:val="none"/>
        </w:rPr>
        <w:outlineLvl w:val="0"/>
      </w:pPr>
      <w:r>
        <w:rPr>
          <w:rFonts w:hint="eastAsia" w:ascii="宋体" w:hAnsi="宋体"/>
          <w:b/>
          <w:color w:val="auto"/>
          <w:sz w:val="36"/>
          <w:highlight w:val="none"/>
        </w:rPr>
        <w:t xml:space="preserve">       </w:t>
      </w:r>
      <w:bookmarkStart w:id="55" w:name="_Toc16288"/>
      <w:r/>
      <w:bookmarkStart w:id="56" w:name="_Toc32428_WPSOffice_Level1"/>
      <w:r>
        <w:rPr>
          <w:rFonts w:hint="eastAsia" w:ascii="宋体" w:hAnsi="宋体"/>
          <w:b/>
          <w:color w:val="auto"/>
          <w:sz w:val="36"/>
          <w:highlight w:val="none"/>
        </w:rPr>
        <w:t xml:space="preserve">日      期 ：</w:t>
      </w:r>
      <w:bookmarkEnd w:id="55"/>
      <w:r/>
      <w:bookmarkEnd w:id="56"/>
      <w:r>
        <w:rPr>
          <w:rFonts w:hint="eastAsia" w:ascii="宋体" w:hAnsi="宋体"/>
          <w:b/>
          <w:color w:val="auto"/>
          <w:sz w:val="36"/>
          <w:highlight w:val="none"/>
          <w:u w:val="single"/>
        </w:rPr>
        <w:t xml:space="preserve">                      </w:t>
      </w:r>
      <w:r/>
    </w:p>
    <w:p>
      <w:pPr>
        <w:spacing w:line="360" w:lineRule="auto"/>
        <w:rPr>
          <w:color w:val="auto"/>
          <w:highlight w:val="none"/>
        </w:rPr>
      </w:pPr>
      <w:r>
        <w:rPr>
          <w:color w:val="auto"/>
          <w:highlight w:val="none"/>
        </w:rPr>
      </w:r>
      <w:r/>
    </w:p>
    <w:p>
      <w:pPr>
        <w:pStyle w:val="876"/>
        <w:ind w:left="-420"/>
        <w:spacing w:line="360" w:lineRule="auto"/>
        <w:rPr>
          <w:color w:val="auto"/>
          <w:highlight w:val="none"/>
        </w:rPr>
      </w:pPr>
      <w:r>
        <w:rPr>
          <w:rFonts w:ascii="宋体" w:hAnsi="宋体"/>
          <w:color w:val="auto"/>
          <w:sz w:val="36"/>
          <w:highlight w:val="none"/>
        </w:rPr>
        <w:br w:type="page" w:clear="all"/>
      </w:r>
      <w:bookmarkStart w:id="57" w:name="_Toc13494_WPSOffice_Level1"/>
      <w:r/>
      <w:bookmarkStart w:id="58" w:name="_Toc24052"/>
      <w:r>
        <w:rPr>
          <w:rFonts w:hint="eastAsia"/>
          <w:color w:val="auto"/>
          <w:highlight w:val="none"/>
        </w:rPr>
        <w:t xml:space="preserve">资格性和符合性检查响应对照表</w:t>
      </w:r>
      <w:bookmarkEnd w:id="57"/>
      <w:r/>
      <w:bookmarkEnd w:id="58"/>
      <w:r/>
      <w:r/>
    </w:p>
    <w:p>
      <w:pPr>
        <w:ind w:firstLine="235"/>
        <w:spacing w:before="50" w:after="50" w:line="360" w:lineRule="auto"/>
        <w:rPr>
          <w:color w:val="auto"/>
          <w:sz w:val="24"/>
          <w:highlight w:val="none"/>
          <w:u w:val="single"/>
        </w:rPr>
        <w:outlineLvl w:val="1"/>
      </w:pPr>
      <w:r/>
      <w:bookmarkStart w:id="59" w:name="_Toc8942"/>
      <w:r>
        <w:rPr>
          <w:rFonts w:hint="eastAsia"/>
          <w:color w:val="auto"/>
          <w:sz w:val="24"/>
          <w:highlight w:val="none"/>
        </w:rPr>
        <w:t xml:space="preserve">项目名称：                                         项目编号：</w:t>
      </w:r>
      <w:bookmarkEnd w:id="59"/>
      <w:r/>
      <w:r/>
    </w:p>
    <w:tbl>
      <w:tblPr>
        <w:tblStyle w:val="885"/>
        <w:tblW w:w="92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589"/>
        <w:gridCol w:w="2062"/>
        <w:gridCol w:w="1721"/>
      </w:tblGrid>
      <w:tr>
        <w:trPr>
          <w:trHeight w:val="1407"/>
        </w:trPr>
        <w:tc>
          <w:tcPr>
            <w:tcW w:w="84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4589" w:type="dxa"/>
            <w:vAlign w:val="center"/>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资格性/符合性审查响应内容</w:t>
            </w:r>
            <w:r/>
          </w:p>
        </w:tc>
        <w:tc>
          <w:tcPr>
            <w:tcW w:w="206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是否响应</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（填是或者否）</w:t>
            </w:r>
            <w:r/>
          </w:p>
        </w:tc>
        <w:tc>
          <w:tcPr>
            <w:tcW w:w="172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w:t>
            </w:r>
            <w:r>
              <w:rPr>
                <w:rFonts w:hint="eastAsia" w:ascii="宋体" w:hAnsi="宋体" w:cs="宋体"/>
                <w:color w:val="auto"/>
                <w:sz w:val="24"/>
                <w:highlight w:val="none"/>
              </w:rPr>
              <w:t xml:space="preserve">文件中的页码位置</w:t>
            </w:r>
            <w:r/>
          </w:p>
        </w:tc>
      </w:tr>
      <w:tr>
        <w:trPr>
          <w:trHeight w:val="600"/>
        </w:trPr>
        <w:tc>
          <w:tcPr>
            <w:tcW w:w="846"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4589"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062"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600"/>
        </w:trPr>
        <w:tc>
          <w:tcPr>
            <w:tcW w:w="846"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4589"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062"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600"/>
        </w:trPr>
        <w:tc>
          <w:tcPr>
            <w:tcW w:w="846"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4589"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062"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31"/>
        </w:trPr>
        <w:tc>
          <w:tcPr>
            <w:tcW w:w="846"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tc>
        <w:tc>
          <w:tcPr>
            <w:tcW w:w="4589"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062"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31"/>
        </w:trPr>
        <w:tc>
          <w:tcPr>
            <w:tcW w:w="846"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tc>
        <w:tc>
          <w:tcPr>
            <w:tcW w:w="4589"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062"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407"/>
        </w:trPr>
        <w:tc>
          <w:tcPr>
            <w:tcW w:w="84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4589" w:type="dxa"/>
            <w:vAlign w:val="center"/>
            <w:textDirection w:val="lrTb"/>
            <w:noWrap w:val="false"/>
          </w:tcPr>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tcW w:w="206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31"/>
        </w:trPr>
        <w:tc>
          <w:tcPr>
            <w:tcW w:w="846"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4589"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062"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29"/>
        </w:trPr>
        <w:tc>
          <w:tcPr>
            <w:tcW w:w="846"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4589"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062"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29"/>
        </w:trPr>
        <w:tc>
          <w:tcPr>
            <w:tcW w:w="846"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4589"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062"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29"/>
        </w:trPr>
        <w:tc>
          <w:tcPr>
            <w:tcW w:w="846"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4589"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062"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02"/>
        </w:trPr>
        <w:tc>
          <w:tcPr>
            <w:tcW w:w="846"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4589"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062"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bl>
    <w:p>
      <w:pPr>
        <w:spacing w:line="360" w:lineRule="auto"/>
        <w:rPr>
          <w:color w:val="auto"/>
          <w:highlight w:val="none"/>
        </w:rPr>
      </w:pPr>
      <w:r>
        <w:rPr>
          <w:color w:val="auto"/>
          <w:highlight w:val="none"/>
        </w:rPr>
        <w:br w:type="page" w:clear="all"/>
      </w:r>
      <w:r/>
    </w:p>
    <w:p>
      <w:pPr>
        <w:pStyle w:val="896"/>
        <w:spacing w:line="360" w:lineRule="auto"/>
        <w:rPr>
          <w:color w:val="auto"/>
          <w:highlight w:val="none"/>
        </w:rPr>
      </w:pPr>
      <w:r>
        <w:rPr>
          <w:color w:val="auto"/>
          <w:highlight w:val="none"/>
        </w:rPr>
      </w:r>
      <w:r/>
    </w:p>
    <w:p>
      <w:pPr>
        <w:pStyle w:val="876"/>
        <w:ind w:left="-420"/>
        <w:spacing w:line="360" w:lineRule="auto"/>
        <w:rPr>
          <w:color w:val="auto"/>
          <w:highlight w:val="none"/>
        </w:rPr>
      </w:pPr>
      <w:r/>
      <w:bookmarkStart w:id="60" w:name="_Toc19417_WPSOffice_Level1"/>
      <w:r/>
      <w:bookmarkStart w:id="61" w:name="_Toc23132"/>
      <w:r/>
      <w:bookmarkStart w:id="62" w:name="_Toc14337"/>
      <w:r>
        <w:rPr>
          <w:color w:val="auto"/>
          <w:highlight w:val="none"/>
        </w:rPr>
        <w:t xml:space="preserve">评分索引表（可按需调整）</w:t>
      </w:r>
      <w:bookmarkEnd w:id="60"/>
      <w:r/>
      <w:bookmarkEnd w:id="61"/>
      <w:r/>
      <w:bookmarkEnd w:id="62"/>
      <w:r/>
      <w:r/>
    </w:p>
    <w:tbl>
      <w:tblPr>
        <w:tblStyle w:val="885"/>
        <w:tblpPr w:horzAnchor="page" w:tblpX="1627" w:vertAnchor="text" w:tblpY="414" w:leftFromText="180" w:topFromText="0" w:rightFromText="180" w:bottomFromText="0"/>
        <w:tblW w:w="8714" w:type="dxa"/>
        <w:tblInd w:w="0" w:type="dxa"/>
        <w:tblLayout w:type="fixed"/>
        <w:tblCellMar>
          <w:left w:w="108" w:type="dxa"/>
          <w:top w:w="0" w:type="dxa"/>
          <w:right w:w="108" w:type="dxa"/>
          <w:bottom w:w="0" w:type="dxa"/>
        </w:tblCellMar>
        <w:tblLook w:val="04A0" w:firstRow="1" w:lastRow="0" w:firstColumn="1" w:lastColumn="0" w:noHBand="0" w:noVBand="1"/>
      </w:tblPr>
      <w:tblGrid>
        <w:gridCol w:w="5670"/>
        <w:gridCol w:w="3044"/>
      </w:tblGrid>
      <w:tr>
        <w:trPr>
          <w:trHeight w:val="522"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pStyle w:val="1030"/>
              <w:ind w:left="722"/>
              <w:jc w:val="center"/>
              <w:spacing w:line="360" w:lineRule="auto"/>
              <w:rPr>
                <w:color w:val="auto"/>
                <w:highlight w:val="none"/>
              </w:rPr>
            </w:pPr>
            <w:r>
              <w:rPr>
                <w:rFonts w:hint="eastAsia"/>
                <w:b/>
                <w:color w:val="auto"/>
                <w:highlight w:val="none"/>
              </w:rPr>
              <w:t xml:space="preserve">评分项目</w:t>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pStyle w:val="1030"/>
              <w:jc w:val="center"/>
              <w:spacing w:line="360" w:lineRule="auto"/>
              <w:rPr>
                <w:color w:val="auto"/>
                <w:highlight w:val="none"/>
              </w:rPr>
            </w:pPr>
            <w:r>
              <w:rPr>
                <w:rFonts w:hint="eastAsia"/>
                <w:b/>
                <w:color w:val="auto"/>
                <w:highlight w:val="none"/>
              </w:rPr>
              <w:t xml:space="preserve">在投标文件中的页码位置</w:t>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color w:val="auto"/>
                <w:highlight w:val="none"/>
              </w:rPr>
            </w:pPr>
            <w:r>
              <w:rPr>
                <w:color w:val="auto"/>
                <w:highlight w:val="none"/>
              </w:rPr>
            </w:r>
            <w:r/>
          </w:p>
        </w:tc>
      </w:tr>
      <w:tr>
        <w:trPr>
          <w:trHeight w:val="562" w:hRule="exact"/>
        </w:trPr>
        <w:tc>
          <w:tcPr>
            <w:gridSpan w:val="2"/>
            <w:tcBorders>
              <w:top w:val="single" w:color="000000" w:sz="4" w:space="0"/>
              <w:left w:val="single" w:color="000000" w:sz="4" w:space="0"/>
              <w:bottom w:val="single" w:color="000000" w:sz="4" w:space="0"/>
              <w:right w:val="single" w:color="000000" w:sz="4" w:space="0"/>
            </w:tcBorders>
            <w:tcW w:w="8714" w:type="dxa"/>
            <w:textDirection w:val="lrTb"/>
            <w:noWrap w:val="false"/>
          </w:tcPr>
          <w:p>
            <w:pPr>
              <w:spacing w:line="360" w:lineRule="auto"/>
              <w:rPr>
                <w:color w:val="auto"/>
                <w:highlight w:val="none"/>
              </w:rPr>
            </w:pPr>
            <w:r>
              <w:rPr>
                <w:color w:val="auto"/>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color w:val="auto"/>
                <w:highlight w:val="none"/>
              </w:rPr>
            </w:pPr>
            <w:r>
              <w:rPr>
                <w:color w:val="auto"/>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color w:val="auto"/>
                <w:highlight w:val="none"/>
              </w:rPr>
            </w:pPr>
            <w:r>
              <w:rPr>
                <w:color w:val="auto"/>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color w:val="auto"/>
                <w:highlight w:val="none"/>
              </w:rPr>
            </w:pPr>
            <w:r>
              <w:rPr>
                <w:color w:val="auto"/>
                <w:highlight w:val="none"/>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color w:val="auto"/>
                <w:highlight w:val="none"/>
              </w:rPr>
            </w:pPr>
            <w:r>
              <w:rPr>
                <w:color w:val="auto"/>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color w:val="auto"/>
                <w:highlight w:val="none"/>
              </w:rPr>
            </w:pPr>
            <w:r>
              <w:rPr>
                <w:color w:val="auto"/>
                <w:highlight w:val="none"/>
              </w:rPr>
            </w:r>
            <w:r/>
          </w:p>
        </w:tc>
      </w:tr>
      <w:tr>
        <w:trPr>
          <w:trHeight w:val="561" w:hRule="exact"/>
        </w:trPr>
        <w:tc>
          <w:tcPr>
            <w:gridSpan w:val="2"/>
            <w:tcBorders>
              <w:top w:val="single" w:color="000000" w:sz="4" w:space="0"/>
              <w:left w:val="single" w:color="000000" w:sz="4" w:space="0"/>
              <w:bottom w:val="single" w:color="000000" w:sz="4" w:space="0"/>
              <w:right w:val="single" w:color="000000" w:sz="4" w:space="0"/>
            </w:tcBorders>
            <w:tcW w:w="8714" w:type="dxa"/>
            <w:textDirection w:val="lrTb"/>
            <w:noWrap w:val="false"/>
          </w:tcPr>
          <w:p>
            <w:pPr>
              <w:spacing w:line="360" w:lineRule="auto"/>
              <w:rPr>
                <w:color w:val="auto"/>
                <w:highlight w:val="none"/>
              </w:rPr>
            </w:pPr>
            <w:r>
              <w:rPr>
                <w:color w:val="auto"/>
                <w:highlight w:val="none"/>
              </w:rPr>
            </w:r>
            <w:r/>
          </w:p>
        </w:tc>
      </w:tr>
      <w:tr>
        <w:trPr>
          <w:trHeight w:val="610"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color w:val="auto"/>
                <w:highlight w:val="none"/>
              </w:rPr>
            </w:pPr>
            <w:r>
              <w:rPr>
                <w:color w:val="auto"/>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color w:val="auto"/>
                <w:highlight w:val="none"/>
              </w:rPr>
            </w:pPr>
            <w:r>
              <w:rPr>
                <w:color w:val="auto"/>
                <w:highlight w:val="none"/>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color w:val="auto"/>
                <w:highlight w:val="none"/>
              </w:rPr>
            </w:pPr>
            <w:r>
              <w:rPr>
                <w:color w:val="auto"/>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color w:val="auto"/>
                <w:highlight w:val="none"/>
              </w:rPr>
            </w:pPr>
            <w:r>
              <w:rPr>
                <w:color w:val="auto"/>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color w:val="auto"/>
                <w:highlight w:val="none"/>
              </w:rPr>
            </w:pPr>
            <w:r>
              <w:rPr>
                <w:color w:val="auto"/>
                <w:highlight w:val="none"/>
              </w:rPr>
            </w:r>
            <w:r/>
          </w:p>
        </w:tc>
      </w:tr>
      <w:tr>
        <w:trPr>
          <w:trHeight w:val="561" w:hRule="exact"/>
        </w:trPr>
        <w:tc>
          <w:tcPr>
            <w:gridSpan w:val="2"/>
            <w:tcBorders>
              <w:top w:val="single" w:color="000000" w:sz="4" w:space="0"/>
              <w:left w:val="single" w:color="000000" w:sz="4" w:space="0"/>
              <w:bottom w:val="single" w:color="000000" w:sz="4" w:space="0"/>
              <w:right w:val="single" w:color="000000" w:sz="4" w:space="0"/>
            </w:tcBorders>
            <w:tcW w:w="8714" w:type="dxa"/>
            <w:textDirection w:val="lrTb"/>
            <w:noWrap w:val="false"/>
          </w:tcPr>
          <w:p>
            <w:pPr>
              <w:spacing w:line="360" w:lineRule="auto"/>
              <w:rPr>
                <w:color w:val="auto"/>
                <w:highlight w:val="none"/>
              </w:rPr>
            </w:pPr>
            <w:r>
              <w:rPr>
                <w:color w:val="auto"/>
                <w:highlight w:val="none"/>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color w:val="auto"/>
                <w:highlight w:val="none"/>
              </w:rPr>
            </w:pPr>
            <w:r>
              <w:rPr>
                <w:color w:val="auto"/>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color w:val="auto"/>
                <w:highlight w:val="none"/>
              </w:rPr>
            </w:pPr>
            <w:r>
              <w:rPr>
                <w:color w:val="auto"/>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color w:val="auto"/>
                <w:highlight w:val="none"/>
              </w:rPr>
            </w:pPr>
            <w:r>
              <w:rPr>
                <w:color w:val="auto"/>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color w:val="auto"/>
                <w:highlight w:val="none"/>
              </w:rPr>
            </w:pPr>
            <w:r>
              <w:rPr>
                <w:color w:val="auto"/>
                <w:highlight w:val="none"/>
              </w:rPr>
            </w:r>
            <w:r/>
          </w:p>
        </w:tc>
      </w:tr>
    </w:tbl>
    <w:p>
      <w:pPr>
        <w:spacing w:line="360" w:lineRule="auto"/>
        <w:rPr>
          <w:b/>
          <w:color w:val="auto"/>
          <w:highlight w:val="none"/>
        </w:rPr>
      </w:pPr>
      <w:r>
        <w:rPr>
          <w:b/>
          <w:color w:val="auto"/>
          <w:highlight w:val="none"/>
        </w:rPr>
      </w:r>
      <w:r/>
    </w:p>
    <w:p>
      <w:pPr>
        <w:spacing w:line="360" w:lineRule="auto"/>
        <w:rPr>
          <w:rFonts w:ascii="宋体" w:hAnsi="宋体" w:cs="宋体"/>
          <w:b/>
          <w:color w:val="auto"/>
          <w:highlight w:val="none"/>
        </w:rPr>
        <w:outlineLvl w:val="1"/>
      </w:pPr>
      <w:r/>
      <w:bookmarkStart w:id="63" w:name="_Toc8135"/>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bookmarkEnd w:id="63"/>
      <w:r/>
      <w:r/>
    </w:p>
    <w:p>
      <w:pPr>
        <w:pStyle w:val="876"/>
        <w:jc w:val="left"/>
        <w:spacing w:before="0" w:after="0" w:line="360" w:lineRule="auto"/>
        <w:rPr>
          <w:rFonts w:ascii="宋体" w:hAnsi="宋体" w:eastAsia="宋体" w:cs="宋体"/>
          <w:color w:val="auto"/>
          <w:sz w:val="24"/>
          <w:szCs w:val="24"/>
          <w:highlight w:val="none"/>
          <w:lang w:val="zh-CN"/>
        </w:rPr>
      </w:pPr>
      <w:r/>
      <w:bookmarkStart w:id="64" w:name="_Toc13432"/>
      <w:r>
        <w:rPr>
          <w:rFonts w:hint="eastAsia" w:ascii="宋体" w:hAnsi="宋体" w:eastAsia="宋体" w:cs="宋体"/>
          <w:color w:val="auto"/>
          <w:sz w:val="24"/>
          <w:szCs w:val="24"/>
          <w:highlight w:val="none"/>
          <w:lang w:val="zh-CN"/>
        </w:rPr>
        <w:t xml:space="preserve">附件一：投标申请及申明</w:t>
      </w:r>
      <w:bookmarkEnd w:id="64"/>
      <w:r/>
      <w:r/>
    </w:p>
    <w:p>
      <w:pPr>
        <w:ind w:firstLine="720"/>
        <w:jc w:val="center"/>
        <w:spacing w:line="360" w:lineRule="auto"/>
        <w:rPr>
          <w:rFonts w:ascii="黑体" w:eastAsia="黑体" w:cs="黑体"/>
          <w:color w:val="auto"/>
          <w:sz w:val="36"/>
          <w:szCs w:val="36"/>
          <w:highlight w:val="none"/>
          <w:lang w:val="zh-CN"/>
        </w:rPr>
      </w:pPr>
      <w:r>
        <w:rPr>
          <w:rFonts w:hint="eastAsia" w:ascii="黑体" w:eastAsia="黑体" w:cs="黑体"/>
          <w:color w:val="auto"/>
          <w:sz w:val="36"/>
          <w:szCs w:val="36"/>
          <w:highlight w:val="none"/>
          <w:lang w:val="zh-CN"/>
        </w:rPr>
        <w:t xml:space="preserve">投标申请及申明</w:t>
      </w:r>
      <w:r/>
    </w:p>
    <w:p>
      <w:pPr>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致：</w:t>
      </w:r>
      <w:r>
        <w:rPr>
          <w:rFonts w:hint="eastAsia" w:ascii="宋体" w:hAnsi="宋体" w:cs="宋体"/>
          <w:color w:val="auto"/>
          <w:szCs w:val="21"/>
          <w:highlight w:val="none"/>
        </w:rPr>
        <w:t xml:space="preserve"> 南京市秦淮河河道管理处　　　</w:t>
      </w:r>
      <w:r>
        <w:rPr>
          <w:rFonts w:ascii="宋体" w:cs="宋体"/>
          <w:color w:val="auto"/>
          <w:szCs w:val="21"/>
          <w:highlight w:val="none"/>
          <w:lang w:val="zh-CN"/>
        </w:rPr>
        <w:t xml:space="preserve"> </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根据贵方</w:t>
      </w:r>
      <w:r>
        <w:rPr>
          <w:rFonts w:hint="eastAsia" w:ascii="宋体" w:hAnsi="宋体"/>
          <w:color w:val="auto"/>
          <w:szCs w:val="21"/>
          <w:highlight w:val="none"/>
          <w:u w:val="single"/>
        </w:rPr>
        <w:t xml:space="preserve">                  </w:t>
      </w:r>
      <w:r>
        <w:rPr>
          <w:rFonts w:hint="eastAsia" w:ascii="宋体" w:hAnsi="宋体"/>
          <w:color w:val="auto"/>
          <w:highlight w:val="none"/>
          <w:u w:val="single"/>
        </w:rPr>
        <w:t xml:space="preserve"> </w:t>
      </w:r>
      <w:r>
        <w:rPr>
          <w:rFonts w:hint="eastAsia" w:ascii="宋体" w:hAnsi="宋体"/>
          <w:b/>
          <w:bCs/>
          <w:color w:val="auto"/>
          <w:szCs w:val="21"/>
          <w:highlight w:val="none"/>
          <w:u w:val="single"/>
        </w:rPr>
        <w:t xml:space="preserve">（</w:t>
      </w:r>
      <w:r>
        <w:rPr>
          <w:rFonts w:hint="eastAsia" w:ascii="宋体" w:hAnsi="宋体"/>
          <w:b/>
          <w:bCs/>
          <w:color w:val="auto"/>
          <w:szCs w:val="21"/>
          <w:highlight w:val="none"/>
        </w:rPr>
        <w:t xml:space="preserve">项目名称</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rPr>
          <w:rFonts w:hint="eastAsia" w:ascii="宋体" w:hAnsi="宋体"/>
          <w:color w:val="auto"/>
          <w:highlight w:val="none"/>
          <w:u w:val="single"/>
        </w:rPr>
        <w:t xml:space="preserve"> </w:t>
      </w:r>
      <w:r>
        <w:rPr>
          <w:rFonts w:hint="eastAsia" w:ascii="宋体" w:hAnsi="宋体"/>
          <w:color w:val="auto"/>
          <w:szCs w:val="21"/>
          <w:highlight w:val="none"/>
        </w:rPr>
        <w:t xml:space="preserve">（项目编号）投标邀请，正式授权下述签字人</w:t>
      </w:r>
      <w:r>
        <w:rPr>
          <w:rFonts w:hint="eastAsia" w:ascii="宋体" w:hAnsi="宋体"/>
          <w:color w:val="auto"/>
          <w:szCs w:val="21"/>
          <w:highlight w:val="none"/>
          <w:u w:val="single"/>
        </w:rPr>
        <w:t xml:space="preserve">           </w:t>
      </w:r>
      <w:r>
        <w:rPr>
          <w:rFonts w:hint="eastAsia" w:ascii="宋体" w:hAnsi="宋体"/>
          <w:color w:val="auto"/>
          <w:highlight w:val="none"/>
          <w:u w:val="single"/>
        </w:rPr>
        <w:t xml:space="preserve"> </w:t>
      </w:r>
      <w:r>
        <w:rPr>
          <w:rFonts w:hint="eastAsia" w:ascii="宋体" w:hAnsi="宋体"/>
          <w:color w:val="auto"/>
          <w:szCs w:val="21"/>
          <w:highlight w:val="none"/>
        </w:rPr>
        <w:t xml:space="preserve">(姓名和职务)代表投标供应商</w:t>
      </w:r>
      <w:r>
        <w:rPr>
          <w:rFonts w:hint="eastAsia" w:ascii="宋体" w:hAnsi="宋体"/>
          <w:color w:val="auto"/>
          <w:szCs w:val="21"/>
          <w:highlight w:val="none"/>
          <w:u w:val="single"/>
        </w:rPr>
        <w:t xml:space="preserve">    </w:t>
      </w:r>
      <w:r>
        <w:rPr>
          <w:rFonts w:hint="eastAsia" w:ascii="宋体" w:hAnsi="宋体"/>
          <w:color w:val="auto"/>
          <w:highlight w:val="none"/>
          <w:u w:val="single"/>
        </w:rPr>
        <w:t xml:space="preserve"> </w:t>
      </w:r>
      <w:r>
        <w:rPr>
          <w:rFonts w:hint="eastAsia" w:ascii="宋体" w:hAnsi="宋体"/>
          <w:color w:val="auto"/>
          <w:szCs w:val="21"/>
          <w:highlight w:val="none"/>
        </w:rPr>
        <w:t xml:space="preserve">（投标供应商名称），提交投标文件。</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据此函，签字人兹宣布声明和承诺如下：</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b/>
          <w:bCs/>
          <w:color w:val="auto"/>
          <w:szCs w:val="21"/>
          <w:highlight w:val="none"/>
        </w:rPr>
        <w:t xml:space="preserve">我们的资格条件完全符合政府采购法和本次招标要求</w:t>
      </w:r>
      <w:r>
        <w:rPr>
          <w:rFonts w:hint="eastAsia" w:ascii="宋体" w:hAnsi="宋体"/>
          <w:color w:val="auto"/>
          <w:szCs w:val="21"/>
          <w:highlight w:val="none"/>
        </w:rPr>
        <w:t xml:space="preserve">，我们同意并向贵方提供了与投标有关的所有证据和资料。</w:t>
      </w:r>
      <w:r/>
    </w:p>
    <w:p>
      <w:pPr>
        <w:ind w:left="1470" w:hanging="1050"/>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按招标要求，我们的投标报价</w:t>
      </w:r>
      <w:r>
        <w:rPr>
          <w:rFonts w:hint="eastAsia" w:ascii="宋体" w:hAnsi="宋体"/>
          <w:b/>
          <w:bCs/>
          <w:color w:val="auto"/>
          <w:szCs w:val="21"/>
          <w:highlight w:val="none"/>
          <w:u w:val="single"/>
        </w:rPr>
        <w:t xml:space="preserve">            </w:t>
      </w:r>
      <w:r>
        <w:rPr>
          <w:rFonts w:hint="eastAsia" w:ascii="宋体" w:hAnsi="宋体"/>
          <w:b/>
          <w:bCs/>
          <w:color w:val="auto"/>
          <w:highlight w:val="none"/>
          <w:u w:val="single"/>
        </w:rPr>
        <w:t xml:space="preserve"> 万元，大写              </w:t>
      </w:r>
      <w:r>
        <w:rPr>
          <w:rFonts w:hint="eastAsia" w:ascii="宋体" w:hAnsi="宋体"/>
          <w:color w:val="auto"/>
          <w:szCs w:val="21"/>
          <w:highlight w:val="none"/>
        </w:rPr>
        <w:t xml:space="preserve">。</w:t>
      </w:r>
      <w:r>
        <w:rPr>
          <w:rFonts w:ascii="宋体" w:hAnsi="宋体"/>
          <w:color w:val="auto"/>
          <w:szCs w:val="21"/>
          <w:highlight w:val="none"/>
        </w:rPr>
        <w:t xml:space="preserve"> </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3、本项目合同履行期为：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4、我们已详细审核全部招标文件及其有效补充文件，我们放弃对招标文件任何误解的权利，提交投标文件后，不对招标文件本身提出质疑。</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5、我们同意从规定的开标日期起遵循本投标文件，并在规定的投标有效期期满之前均具有约束力。</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6、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9、与本投标有关的正式联系方式为：</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地   址：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电   话：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传   真：                      </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开户银行：</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银行账号：</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投标供应商授权代表姓名（签字）：</w:t>
      </w:r>
      <w:r>
        <w:rPr>
          <w:rFonts w:hint="eastAsia" w:ascii="宋体" w:hAnsi="宋体"/>
          <w:color w:val="auto"/>
          <w:szCs w:val="21"/>
          <w:highlight w:val="none"/>
          <w:u w:val="single"/>
        </w:rPr>
        <w:t xml:space="preserve">        </w:t>
      </w:r>
      <w:r/>
    </w:p>
    <w:p>
      <w:pPr>
        <w:ind w:firstLine="420"/>
        <w:spacing w:line="360" w:lineRule="auto"/>
        <w:shd w:val="clear" w:color="auto" w:fill="ffffff"/>
        <w:widowControl/>
        <w:rPr>
          <w:rFonts w:ascii="宋体" w:hAnsi="宋体"/>
          <w:color w:val="auto"/>
          <w:szCs w:val="21"/>
          <w:highlight w:val="none"/>
        </w:rPr>
      </w:pPr>
      <w:r>
        <w:rPr>
          <w:rFonts w:hint="eastAsia" w:ascii="宋体" w:hAnsi="宋体" w:cs="微软雅黑"/>
          <w:color w:val="auto"/>
          <w:szCs w:val="21"/>
          <w:highlight w:val="none"/>
        </w:rPr>
        <w:t xml:space="preserve">供应商名称</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rPr>
          <w:rFonts w:hint="eastAsia" w:ascii="宋体" w:hAnsi="宋体"/>
          <w:color w:val="auto"/>
          <w:highlight w:val="none"/>
          <w:u w:val="single"/>
        </w:rPr>
        <w:t xml:space="preserve"> </w:t>
      </w:r>
      <w:r>
        <w:rPr>
          <w:rFonts w:hint="eastAsia" w:ascii="宋体" w:hAnsi="宋体"/>
          <w:color w:val="auto"/>
          <w:szCs w:val="21"/>
          <w:highlight w:val="none"/>
        </w:rPr>
        <w:t xml:space="preserve">（盖章）</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日   </w:t>
      </w:r>
      <w:r>
        <w:rPr>
          <w:rFonts w:hint="eastAsia" w:ascii="宋体" w:hAnsi="宋体"/>
          <w:color w:val="auto"/>
          <w:highlight w:val="none"/>
        </w:rPr>
        <w:t xml:space="preserve"> </w:t>
      </w:r>
      <w:r>
        <w:rPr>
          <w:rFonts w:hint="eastAsia" w:ascii="宋体" w:hAnsi="宋体"/>
          <w:color w:val="auto"/>
          <w:szCs w:val="21"/>
          <w:highlight w:val="none"/>
        </w:rPr>
        <w:t xml:space="preserve">期：</w:t>
      </w:r>
      <w:r>
        <w:rPr>
          <w:rFonts w:hint="eastAsia" w:ascii="宋体" w:hAnsi="宋体"/>
          <w:color w:val="auto"/>
          <w:szCs w:val="21"/>
          <w:highlight w:val="none"/>
          <w:u w:val="single"/>
        </w:rPr>
        <w:t xml:space="preserve">      </w:t>
      </w:r>
      <w:r>
        <w:rPr>
          <w:rFonts w:hint="eastAsia" w:ascii="宋体" w:hAnsi="宋体"/>
          <w:color w:val="auto"/>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highlight w:val="none"/>
          <w:u w:val="single"/>
        </w:rPr>
        <w:t xml:space="preserve"> </w:t>
      </w:r>
      <w:r>
        <w:rPr>
          <w:rFonts w:hint="eastAsia" w:ascii="宋体" w:hAnsi="宋体"/>
          <w:color w:val="auto"/>
          <w:szCs w:val="21"/>
          <w:highlight w:val="none"/>
        </w:rPr>
        <w:t xml:space="preserve">日</w:t>
      </w:r>
      <w:r/>
    </w:p>
    <w:p>
      <w:pPr>
        <w:spacing w:line="360" w:lineRule="auto"/>
        <w:rPr>
          <w:rFonts w:ascii="宋体" w:hAnsi="宋体" w:cs="宋体"/>
          <w:color w:val="auto"/>
          <w:sz w:val="24"/>
          <w:highlight w:val="none"/>
          <w:lang w:val="zh-CN"/>
        </w:rPr>
      </w:pPr>
      <w:r/>
      <w:bookmarkStart w:id="65" w:name="_Toc19469"/>
      <w:r>
        <w:rPr>
          <w:rFonts w:hint="eastAsia" w:ascii="宋体" w:hAnsi="宋体" w:cs="宋体"/>
          <w:color w:val="auto"/>
          <w:sz w:val="24"/>
          <w:highlight w:val="none"/>
          <w:lang w:val="zh-CN"/>
        </w:rPr>
        <w:br w:type="page" w:clear="all"/>
      </w:r>
      <w:r/>
    </w:p>
    <w:p>
      <w:pPr>
        <w:pStyle w:val="876"/>
        <w:jc w:val="left"/>
        <w:spacing w:before="0" w:after="0"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附件二：法定代表人授权书格式</w:t>
      </w:r>
      <w:bookmarkEnd w:id="65"/>
      <w:r/>
      <w:r/>
    </w:p>
    <w:p>
      <w:pPr>
        <w:jc w:val="left"/>
        <w:spacing w:line="360" w:lineRule="auto"/>
        <w:rPr>
          <w:rFonts w:ascii="宋体" w:cs="宋体"/>
          <w:b/>
          <w:bCs/>
          <w:color w:val="auto"/>
          <w:szCs w:val="21"/>
          <w:highlight w:val="none"/>
          <w:lang w:val="zh-CN"/>
        </w:rPr>
      </w:pPr>
      <w:r>
        <w:rPr>
          <w:rFonts w:ascii="宋体" w:cs="宋体"/>
          <w:b/>
          <w:bCs/>
          <w:color w:val="auto"/>
          <w:szCs w:val="21"/>
          <w:highlight w:val="none"/>
          <w:lang w:val="zh-CN"/>
        </w:rPr>
      </w:r>
      <w:r/>
    </w:p>
    <w:p>
      <w:pPr>
        <w:ind w:firstLine="720"/>
        <w:jc w:val="center"/>
        <w:spacing w:line="360" w:lineRule="auto"/>
        <w:rPr>
          <w:rFonts w:ascii="黑体" w:eastAsia="黑体" w:cs="黑体"/>
          <w:color w:val="auto"/>
          <w:sz w:val="36"/>
          <w:szCs w:val="36"/>
          <w:highlight w:val="none"/>
          <w:lang w:val="zh-CN"/>
        </w:rPr>
      </w:pPr>
      <w:r>
        <w:rPr>
          <w:rFonts w:hint="eastAsia" w:ascii="黑体" w:eastAsia="黑体" w:cs="黑体"/>
          <w:color w:val="auto"/>
          <w:sz w:val="36"/>
          <w:szCs w:val="36"/>
          <w:highlight w:val="none"/>
          <w:lang w:val="zh-CN"/>
        </w:rPr>
        <w:t xml:space="preserve">法定代表人授权委托书</w:t>
      </w:r>
      <w:r/>
    </w:p>
    <w:p>
      <w:pPr>
        <w:ind w:firstLine="210"/>
        <w:jc w:val="left"/>
        <w:spacing w:line="360" w:lineRule="auto"/>
        <w:rPr>
          <w:rFonts w:ascii="宋体" w:cs="宋体"/>
          <w:color w:val="auto"/>
          <w:szCs w:val="21"/>
          <w:highlight w:val="none"/>
          <w:lang w:val="zh-CN"/>
        </w:rPr>
      </w:pPr>
      <w:r>
        <w:rPr>
          <w:rFonts w:hint="eastAsia" w:ascii="宋体" w:hAnsi="宋体" w:cs="宋体"/>
          <w:color w:val="auto"/>
          <w:szCs w:val="21"/>
          <w:highlight w:val="none"/>
        </w:rPr>
        <w:t xml:space="preserve"> 南京市秦淮河河道管理处　　</w:t>
      </w:r>
      <w:r>
        <w:rPr>
          <w:rFonts w:hint="eastAsia" w:ascii="宋体" w:cs="宋体"/>
          <w:color w:val="auto"/>
          <w:szCs w:val="21"/>
          <w:highlight w:val="none"/>
          <w:lang w:val="zh-CN"/>
        </w:rPr>
        <w:t xml:space="preserve">：</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本授权书声明：注册于</w:t>
      </w:r>
      <w:r>
        <w:rPr>
          <w:rFonts w:hint="eastAsia" w:ascii="宋体" w:cs="宋体"/>
          <w:color w:val="auto"/>
          <w:szCs w:val="21"/>
          <w:highlight w:val="none"/>
          <w:u w:val="single"/>
          <w:lang w:val="zh-CN"/>
        </w:rPr>
        <w:t xml:space="preserve">（投标供应商住址）</w:t>
      </w:r>
      <w:r>
        <w:rPr>
          <w:rFonts w:hint="eastAsia" w:ascii="宋体" w:cs="宋体"/>
          <w:color w:val="auto"/>
          <w:szCs w:val="21"/>
          <w:highlight w:val="none"/>
          <w:lang w:val="zh-CN"/>
        </w:rPr>
        <w:t xml:space="preserve">的</w:t>
      </w:r>
      <w:r>
        <w:rPr>
          <w:rFonts w:hint="eastAsia" w:ascii="宋体" w:cs="宋体"/>
          <w:color w:val="auto"/>
          <w:szCs w:val="21"/>
          <w:highlight w:val="none"/>
          <w:u w:val="single"/>
          <w:lang w:val="zh-CN"/>
        </w:rPr>
        <w:t xml:space="preserve">（投标供应商名称）</w:t>
      </w:r>
      <w:r>
        <w:rPr>
          <w:rFonts w:hint="eastAsia" w:ascii="宋体" w:cs="宋体"/>
          <w:color w:val="auto"/>
          <w:szCs w:val="21"/>
          <w:highlight w:val="none"/>
          <w:lang w:val="zh-CN"/>
        </w:rPr>
        <w:t xml:space="preserve">法定代表人</w:t>
      </w:r>
      <w:r>
        <w:rPr>
          <w:rFonts w:hint="eastAsia" w:ascii="宋体" w:cs="宋体"/>
          <w:color w:val="auto"/>
          <w:szCs w:val="21"/>
          <w:highlight w:val="none"/>
          <w:u w:val="single"/>
          <w:lang w:val="zh-CN"/>
        </w:rPr>
        <w:t xml:space="preserve">（法定代表人姓名、职务）</w:t>
      </w:r>
      <w:r>
        <w:rPr>
          <w:rFonts w:hint="eastAsia" w:ascii="宋体" w:cs="宋体"/>
          <w:color w:val="auto"/>
          <w:szCs w:val="21"/>
          <w:highlight w:val="none"/>
          <w:lang w:val="zh-CN"/>
        </w:rPr>
        <w:t xml:space="preserve">代表本公司授权在下面签字的</w:t>
      </w:r>
      <w:r>
        <w:rPr>
          <w:rFonts w:hint="eastAsia" w:ascii="宋体" w:cs="宋体"/>
          <w:color w:val="auto"/>
          <w:szCs w:val="21"/>
          <w:highlight w:val="none"/>
          <w:u w:val="single"/>
          <w:lang w:val="zh-CN"/>
        </w:rPr>
        <w:t xml:space="preserve">（投标供应商代表姓名、职务）</w:t>
      </w:r>
      <w:r>
        <w:rPr>
          <w:rFonts w:hint="eastAsia" w:ascii="宋体" w:cs="宋体"/>
          <w:color w:val="auto"/>
          <w:szCs w:val="21"/>
          <w:highlight w:val="none"/>
          <w:lang w:val="zh-CN"/>
        </w:rPr>
        <w:t xml:space="preserve">为本公司的合法代理人，就贵方组织的</w:t>
      </w:r>
      <w:r>
        <w:rPr>
          <w:rFonts w:hint="eastAsia" w:ascii="宋体" w:cs="宋体"/>
          <w:color w:val="auto"/>
          <w:szCs w:val="21"/>
          <w:highlight w:val="none"/>
          <w:u w:val="single"/>
          <w:lang w:val="zh-CN"/>
        </w:rPr>
        <w:t xml:space="preserve">（项目名称）</w:t>
      </w:r>
      <w:r>
        <w:rPr>
          <w:rFonts w:hint="eastAsia" w:ascii="宋体" w:cs="宋体"/>
          <w:color w:val="auto"/>
          <w:szCs w:val="21"/>
          <w:highlight w:val="none"/>
          <w:lang w:val="zh-CN"/>
        </w:rPr>
        <w:t xml:space="preserve">，</w:t>
      </w:r>
      <w:r>
        <w:rPr>
          <w:rFonts w:hint="eastAsia" w:ascii="宋体" w:cs="宋体"/>
          <w:color w:val="auto"/>
          <w:szCs w:val="21"/>
          <w:highlight w:val="none"/>
          <w:u w:val="single"/>
          <w:lang w:val="zh-CN"/>
        </w:rPr>
        <w:t xml:space="preserve">（项目编号）</w:t>
      </w:r>
      <w:r>
        <w:rPr>
          <w:rFonts w:hint="eastAsia" w:ascii="宋体" w:cs="宋体"/>
          <w:color w:val="auto"/>
          <w:szCs w:val="21"/>
          <w:highlight w:val="none"/>
          <w:lang w:val="zh-CN"/>
        </w:rPr>
        <w:t xml:space="preserve">投标，以本公司名义处理一切与之有关的事务。</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本授权书于年月日签字生效，特此声明。</w:t>
      </w:r>
      <w:r/>
    </w:p>
    <w:p>
      <w:pPr>
        <w:ind w:firstLine="420"/>
        <w:jc w:val="left"/>
        <w:spacing w:line="360" w:lineRule="auto"/>
        <w:rPr>
          <w:rFonts w:ascii="宋体" w:cs="宋体"/>
          <w:color w:val="auto"/>
          <w:szCs w:val="21"/>
          <w:highlight w:val="none"/>
          <w:lang w:val="zh-CN"/>
        </w:rPr>
      </w:pPr>
      <w:r>
        <w:rPr>
          <w:rFonts w:ascii="宋体" w:cs="宋体"/>
          <w:color w:val="auto"/>
          <w:szCs w:val="21"/>
          <w:highlight w:val="none"/>
          <w:lang w:val="zh-CN"/>
        </w:rPr>
      </w:r>
      <w:r/>
    </w:p>
    <w:p>
      <w:pPr>
        <w:ind w:firstLine="420"/>
        <w:spacing w:line="360" w:lineRule="auto"/>
        <w:rPr>
          <w:rFonts w:ascii="宋体" w:cs="宋体"/>
          <w:color w:val="auto"/>
          <w:szCs w:val="21"/>
          <w:highlight w:val="none"/>
          <w:lang w:val="zh-CN"/>
        </w:rPr>
      </w:pPr>
      <w:r>
        <w:rPr>
          <w:rFonts w:hint="eastAsia" w:ascii="宋体" w:hAnsi="宋体" w:cs="微软雅黑"/>
          <w:color w:val="auto"/>
          <w:szCs w:val="21"/>
          <w:highlight w:val="none"/>
        </w:rPr>
        <w:t xml:space="preserve">供应商名称</w:t>
      </w:r>
      <w:r>
        <w:rPr>
          <w:rFonts w:hint="eastAsia" w:ascii="宋体" w:cs="宋体"/>
          <w:color w:val="auto"/>
          <w:szCs w:val="21"/>
          <w:highlight w:val="none"/>
          <w:lang w:val="zh-CN"/>
        </w:rPr>
        <w:t xml:space="preserve">：（盖章）</w:t>
      </w:r>
      <w:r/>
    </w:p>
    <w:p>
      <w:pPr>
        <w:ind w:firstLine="420"/>
        <w:jc w:val="left"/>
        <w:spacing w:line="360" w:lineRule="auto"/>
        <w:rPr>
          <w:rFonts w:ascii="宋体" w:cs="宋体"/>
          <w:color w:val="auto"/>
          <w:szCs w:val="21"/>
          <w:highlight w:val="none"/>
          <w:lang w:val="zh-CN"/>
        </w:rPr>
      </w:pPr>
      <w:r/>
      <w:bookmarkStart w:id="66" w:name="OLE_LINK27"/>
      <w:r>
        <w:rPr>
          <w:rFonts w:hint="eastAsia" w:ascii="宋体" w:cs="宋体"/>
          <w:color w:val="auto"/>
          <w:szCs w:val="21"/>
          <w:highlight w:val="none"/>
          <w:lang w:val="zh-CN"/>
        </w:rPr>
        <w:t xml:space="preserve">法定代表人</w:t>
      </w:r>
      <w:bookmarkEnd w:id="66"/>
      <w:r>
        <w:rPr>
          <w:rFonts w:hint="eastAsia" w:ascii="宋体" w:cs="宋体"/>
          <w:color w:val="auto"/>
          <w:szCs w:val="21"/>
          <w:highlight w:val="none"/>
          <w:lang w:val="zh-CN"/>
        </w:rPr>
        <w:t xml:space="preserve">签字：</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授权委托人签字：</w:t>
      </w:r>
      <w:r/>
    </w:p>
    <w:p>
      <w:pPr>
        <w:ind w:firstLine="420"/>
        <w:jc w:val="left"/>
        <w:spacing w:line="360" w:lineRule="auto"/>
        <w:tabs>
          <w:tab w:val="left" w:pos="1440" w:leader="none"/>
        </w:tabs>
        <w:rPr>
          <w:rFonts w:ascii="宋体" w:cs="宋体"/>
          <w:color w:val="auto"/>
          <w:szCs w:val="21"/>
          <w:highlight w:val="none"/>
          <w:lang w:val="zh-CN"/>
        </w:rPr>
      </w:pPr>
      <w:r>
        <w:rPr>
          <w:rFonts w:hint="eastAsia" w:ascii="宋体" w:cs="宋体"/>
          <w:color w:val="auto"/>
          <w:szCs w:val="21"/>
          <w:highlight w:val="none"/>
          <w:lang w:val="zh-CN"/>
        </w:rPr>
        <w:t xml:space="preserve">日期：年月日</w:t>
      </w:r>
      <w:r/>
    </w:p>
    <w:p>
      <w:pPr>
        <w:ind w:firstLine="422"/>
        <w:jc w:val="left"/>
        <w:spacing w:line="360" w:lineRule="auto"/>
        <w:rPr>
          <w:rFonts w:ascii="宋体" w:cs="宋体"/>
          <w:b/>
          <w:bCs/>
          <w:color w:val="auto"/>
          <w:szCs w:val="21"/>
          <w:highlight w:val="none"/>
          <w:lang w:val="zh-CN"/>
        </w:rPr>
      </w:pPr>
      <w:r>
        <w:rPr>
          <w:rFonts w:ascii="宋体" w:cs="宋体"/>
          <w:b/>
          <w:bCs/>
          <w:color w:val="auto"/>
          <w:szCs w:val="21"/>
          <w:highlight w:val="none"/>
          <w:lang w:val="zh-CN"/>
        </w:rPr>
      </w:r>
      <w:r/>
    </w:p>
    <w:p>
      <w:pPr>
        <w:ind w:firstLine="422"/>
        <w:jc w:val="left"/>
        <w:spacing w:line="360" w:lineRule="auto"/>
        <w:rPr>
          <w:rFonts w:ascii="宋体" w:cs="宋体"/>
          <w:b/>
          <w:bCs/>
          <w:color w:val="auto"/>
          <w:szCs w:val="21"/>
          <w:highlight w:val="none"/>
          <w:lang w:val="zh-CN"/>
        </w:rPr>
      </w:pPr>
      <w:r>
        <w:rPr>
          <w:rFonts w:ascii="宋体" w:cs="宋体"/>
          <w:b/>
          <w:bCs/>
          <w:color w:val="auto"/>
          <w:szCs w:val="21"/>
          <w:highlight w:val="none"/>
          <w:lang w:val="zh-CN"/>
        </w:rPr>
      </w:r>
      <w:r/>
    </w:p>
    <w:p>
      <w:pPr>
        <w:pStyle w:val="878"/>
        <w:ind w:left="120" w:right="225"/>
        <w:jc w:val="center"/>
        <w:spacing w:before="0" w:line="360" w:lineRule="auto"/>
        <w:rPr>
          <w:b w:val="0"/>
          <w:bCs w:val="0"/>
          <w:color w:val="auto"/>
          <w:sz w:val="21"/>
          <w:szCs w:val="21"/>
          <w:highlight w:val="none"/>
        </w:rPr>
      </w:pPr>
      <w:r>
        <w:rPr>
          <w:rFonts w:hint="eastAsia"/>
          <w:color w:val="auto"/>
          <w:sz w:val="21"/>
          <w:szCs w:val="21"/>
          <w:highlight w:val="none"/>
        </w:rPr>
        <w:t xml:space="preserve">法定代表人、委托代理人</w:t>
      </w:r>
      <w:r>
        <w:rPr>
          <w:color w:val="auto"/>
          <w:sz w:val="21"/>
          <w:szCs w:val="21"/>
          <w:highlight w:val="none"/>
        </w:rPr>
        <w:t xml:space="preserve">的身份证明文件：</w:t>
      </w:r>
      <w:r/>
    </w:p>
    <w:p>
      <w:pPr>
        <w:jc w:val="center"/>
        <w:spacing w:line="360" w:lineRule="auto"/>
        <w:rPr>
          <w:color w:val="auto"/>
          <w:szCs w:val="21"/>
          <w:highlight w:val="none"/>
        </w:rPr>
      </w:pPr>
      <w:r>
        <w:rPr>
          <w:color w:val="auto"/>
          <w:szCs w:val="21"/>
          <w:highlight w:val="none"/>
        </w:rPr>
      </w:r>
      <w:r/>
    </w:p>
    <w:tbl>
      <w:tblPr>
        <w:tblStyle w:val="885"/>
        <w:tblW w:w="50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jc w:val="center"/>
          <w:trHeight w:val="2645"/>
        </w:trPr>
        <w:tc>
          <w:tcPr>
            <w:tcW w:w="508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cs="宋体"/>
                <w:color w:val="auto"/>
                <w:szCs w:val="21"/>
                <w:highlight w:val="none"/>
                <w:lang w:val="zh-CN"/>
              </w:rPr>
              <w:t xml:space="preserve">法定代表人、</w:t>
            </w:r>
            <w:r>
              <w:rPr>
                <w:rFonts w:hint="eastAsia" w:ascii="宋体" w:hAnsi="宋体" w:cs="宋体"/>
                <w:color w:val="auto"/>
                <w:szCs w:val="21"/>
                <w:highlight w:val="none"/>
              </w:rPr>
              <w:t xml:space="preserve">委托代理人</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身份证正面</w:t>
            </w:r>
            <w:r/>
          </w:p>
        </w:tc>
      </w:tr>
      <w:tr>
        <w:trPr>
          <w:jc w:val="center"/>
          <w:trHeight w:val="2455"/>
        </w:trPr>
        <w:tc>
          <w:tcPr>
            <w:tcW w:w="508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cs="宋体"/>
                <w:color w:val="auto"/>
                <w:szCs w:val="21"/>
                <w:highlight w:val="none"/>
                <w:lang w:val="zh-CN"/>
              </w:rPr>
              <w:t xml:space="preserve">法定代表人、</w:t>
            </w:r>
            <w:r>
              <w:rPr>
                <w:rFonts w:hint="eastAsia" w:ascii="宋体" w:hAnsi="宋体" w:cs="宋体"/>
                <w:color w:val="auto"/>
                <w:szCs w:val="21"/>
                <w:highlight w:val="none"/>
              </w:rPr>
              <w:t xml:space="preserve">委托代理人</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身份证反面</w:t>
            </w:r>
            <w:r/>
          </w:p>
        </w:tc>
      </w:tr>
    </w:tbl>
    <w:p>
      <w:pPr>
        <w:jc w:val="left"/>
        <w:spacing w:line="360" w:lineRule="auto"/>
        <w:rPr>
          <w:rFonts w:ascii="宋体" w:cs="宋体"/>
          <w:b/>
          <w:bCs/>
          <w:color w:val="auto"/>
          <w:szCs w:val="21"/>
          <w:highlight w:val="none"/>
          <w:lang w:val="zh-CN"/>
        </w:rPr>
      </w:pPr>
      <w:r>
        <w:rPr>
          <w:rFonts w:ascii="宋体" w:cs="宋体"/>
          <w:b/>
          <w:bCs/>
          <w:color w:val="auto"/>
          <w:szCs w:val="21"/>
          <w:highlight w:val="none"/>
          <w:lang w:val="zh-CN"/>
        </w:rPr>
      </w:r>
      <w:r/>
    </w:p>
    <w:p>
      <w:pPr>
        <w:pStyle w:val="899"/>
        <w:ind w:left="1260"/>
        <w:spacing w:line="360" w:lineRule="auto"/>
        <w:rPr>
          <w:rFonts w:ascii="宋体" w:cs="宋体"/>
          <w:b/>
          <w:bCs/>
          <w:color w:val="auto"/>
          <w:szCs w:val="21"/>
          <w:highlight w:val="none"/>
          <w:lang w:val="zh-CN"/>
        </w:rPr>
      </w:pPr>
      <w:r>
        <w:rPr>
          <w:rFonts w:ascii="宋体" w:cs="宋体"/>
          <w:b/>
          <w:bCs/>
          <w:color w:val="auto"/>
          <w:szCs w:val="21"/>
          <w:highlight w:val="none"/>
          <w:lang w:val="zh-CN"/>
        </w:rPr>
      </w:r>
      <w:r/>
    </w:p>
    <w:p>
      <w:pPr>
        <w:spacing w:line="360" w:lineRule="auto"/>
        <w:rPr>
          <w:rFonts w:ascii="宋体" w:cs="宋体"/>
          <w:b/>
          <w:bCs/>
          <w:color w:val="auto"/>
          <w:szCs w:val="21"/>
          <w:highlight w:val="none"/>
          <w:lang w:val="zh-CN"/>
        </w:rPr>
      </w:pPr>
      <w:r>
        <w:rPr>
          <w:rFonts w:ascii="宋体" w:cs="宋体"/>
          <w:b/>
          <w:bCs/>
          <w:color w:val="auto"/>
          <w:szCs w:val="21"/>
          <w:highlight w:val="none"/>
          <w:lang w:val="zh-CN"/>
        </w:rPr>
      </w:r>
      <w:r/>
    </w:p>
    <w:p>
      <w:pPr>
        <w:spacing w:line="360" w:lineRule="auto"/>
        <w:rPr>
          <w:rFonts w:ascii="宋体" w:hAnsi="宋体" w:cs="宋体"/>
          <w:color w:val="auto"/>
          <w:sz w:val="24"/>
          <w:highlight w:val="none"/>
          <w:lang w:val="zh-CN"/>
        </w:rPr>
      </w:pPr>
      <w:r/>
      <w:bookmarkStart w:id="67" w:name="_Toc5957"/>
      <w:r/>
      <w:r/>
    </w:p>
    <w:p>
      <w:pPr>
        <w:pStyle w:val="876"/>
        <w:jc w:val="left"/>
        <w:spacing w:before="0" w:after="0"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val="zh-CN"/>
        </w:rPr>
        <w:t xml:space="preserve">：投标承诺函格式</w:t>
      </w:r>
      <w:bookmarkEnd w:id="67"/>
      <w:r/>
      <w:r/>
    </w:p>
    <w:p>
      <w:pPr>
        <w:ind w:firstLine="720"/>
        <w:jc w:val="center"/>
        <w:spacing w:line="360" w:lineRule="auto"/>
        <w:rPr>
          <w:rFonts w:ascii="黑体" w:eastAsia="黑体" w:cs="黑体"/>
          <w:color w:val="auto"/>
          <w:sz w:val="36"/>
          <w:szCs w:val="36"/>
          <w:highlight w:val="none"/>
          <w:lang w:val="zh-CN"/>
        </w:rPr>
      </w:pPr>
      <w:r/>
      <w:bookmarkStart w:id="68" w:name="_Toc11016"/>
      <w:r>
        <w:rPr>
          <w:rFonts w:hint="eastAsia" w:ascii="黑体" w:eastAsia="黑体" w:cs="黑体"/>
          <w:color w:val="auto"/>
          <w:sz w:val="36"/>
          <w:szCs w:val="36"/>
          <w:highlight w:val="none"/>
          <w:lang w:val="zh-CN"/>
        </w:rPr>
        <w:t xml:space="preserve">投标承诺函</w:t>
      </w:r>
      <w:bookmarkEnd w:id="68"/>
      <w:r/>
      <w:r/>
    </w:p>
    <w:p>
      <w:pPr>
        <w:spacing w:line="360" w:lineRule="auto"/>
        <w:rPr>
          <w:rFonts w:ascii="宋体" w:hAnsi="宋体"/>
          <w:color w:val="auto"/>
          <w:szCs w:val="21"/>
          <w:highlight w:val="none"/>
        </w:rPr>
      </w:pPr>
      <w:r>
        <w:rPr>
          <w:rFonts w:ascii="宋体" w:hAnsi="宋体"/>
          <w:color w:val="auto"/>
          <w:szCs w:val="21"/>
          <w:highlight w:val="none"/>
        </w:rPr>
        <w:t xml:space="preserve">致：</w:t>
      </w:r>
      <w:r>
        <w:rPr>
          <w:rFonts w:hint="eastAsia" w:ascii="宋体" w:hAnsi="宋体"/>
          <w:color w:val="auto"/>
          <w:szCs w:val="21"/>
          <w:highlight w:val="none"/>
        </w:rPr>
        <w:t xml:space="preserve"> 南京市秦淮河河道管理处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根据贵方</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（项目名称）</w:t>
      </w:r>
      <w:r>
        <w:rPr>
          <w:rFonts w:hint="eastAsia" w:ascii="宋体" w:hAnsi="宋体"/>
          <w:color w:val="auto"/>
          <w:szCs w:val="21"/>
          <w:highlight w:val="none"/>
        </w:rPr>
        <w:t xml:space="preserve">的</w:t>
      </w:r>
      <w:r>
        <w:rPr>
          <w:rFonts w:ascii="宋体" w:hAnsi="宋体"/>
          <w:color w:val="auto"/>
          <w:szCs w:val="21"/>
          <w:highlight w:val="none"/>
        </w:rPr>
        <w:t xml:space="preserve">投标邀请，我方提交投标</w:t>
      </w:r>
      <w:r>
        <w:rPr>
          <w:rFonts w:hint="eastAsia" w:ascii="宋体" w:hAnsi="宋体"/>
          <w:color w:val="auto"/>
          <w:szCs w:val="21"/>
          <w:highlight w:val="none"/>
        </w:rPr>
        <w:t xml:space="preserve">（响应）</w:t>
      </w:r>
      <w:r>
        <w:rPr>
          <w:rFonts w:ascii="宋体" w:hAnsi="宋体"/>
          <w:color w:val="auto"/>
          <w:szCs w:val="21"/>
          <w:highlight w:val="none"/>
        </w:rPr>
        <w:t xml:space="preserve">文件，并</w:t>
      </w:r>
      <w:r>
        <w:rPr>
          <w:rFonts w:hint="eastAsia" w:ascii="宋体" w:hAnsi="宋体"/>
          <w:color w:val="auto"/>
          <w:szCs w:val="21"/>
          <w:highlight w:val="none"/>
        </w:rPr>
        <w:t xml:space="preserve">承诺</w:t>
      </w:r>
      <w:r>
        <w:rPr>
          <w:rFonts w:ascii="宋体" w:hAnsi="宋体"/>
          <w:color w:val="auto"/>
          <w:szCs w:val="21"/>
          <w:highlight w:val="none"/>
        </w:rPr>
        <w:t xml:space="preserve">如下：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1.我方的资格条件符合政府采购法和本次</w:t>
      </w:r>
      <w:r>
        <w:rPr>
          <w:rFonts w:hint="eastAsia" w:ascii="宋体" w:hAnsi="宋体"/>
          <w:color w:val="auto"/>
          <w:szCs w:val="21"/>
          <w:highlight w:val="none"/>
        </w:rPr>
        <w:t xml:space="preserve">采购</w:t>
      </w:r>
      <w:r>
        <w:rPr>
          <w:rFonts w:ascii="宋体" w:hAnsi="宋体"/>
          <w:color w:val="auto"/>
          <w:szCs w:val="21"/>
          <w:highlight w:val="none"/>
        </w:rPr>
        <w:t xml:space="preserve">要求，我方同意并向贵方提供了与</w:t>
      </w:r>
      <w:r>
        <w:rPr>
          <w:rFonts w:hint="eastAsia" w:ascii="宋体" w:hAnsi="宋体"/>
          <w:color w:val="auto"/>
          <w:szCs w:val="21"/>
          <w:highlight w:val="none"/>
        </w:rPr>
        <w:t xml:space="preserve">采购</w:t>
      </w:r>
      <w:r>
        <w:rPr>
          <w:rFonts w:ascii="宋体" w:hAnsi="宋体"/>
          <w:color w:val="auto"/>
          <w:szCs w:val="21"/>
          <w:highlight w:val="none"/>
        </w:rPr>
        <w:t xml:space="preserve">有关的所有证据和资料。</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2.我方参加本次采购活动前三年内，在经营活动中没有重大违法记录。</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3.我方参加本次采购活动前，没有被列入失信被执行人名单、重大税收违法案件当事人名单、政府采购严重违法失信行为记录名单。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4.我方在全国范围内未受过财政部门禁止参加政府采购活动的处罚，或禁止参加政府采购活动的处罚期限已满。</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5.我方没有为本采购项目提供整体设计、规范编制，以及项目管理、监理、检测等服务。</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6.我方与参与本次采购活动的其他供应商的授权代理人(或法定代表人、项目经理、项目总监、项目负责人等)，在</w:t>
      </w:r>
      <w:r>
        <w:rPr>
          <w:rFonts w:hint="eastAsia" w:ascii="宋体" w:hAnsi="宋体"/>
          <w:color w:val="auto"/>
          <w:szCs w:val="21"/>
          <w:highlight w:val="none"/>
        </w:rPr>
        <w:t xml:space="preserve">招标文件</w:t>
      </w:r>
      <w:r>
        <w:rPr>
          <w:rFonts w:ascii="宋体" w:hAnsi="宋体"/>
          <w:color w:val="auto"/>
          <w:szCs w:val="21"/>
          <w:highlight w:val="none"/>
        </w:rPr>
        <w:t xml:space="preserve">发布日上月至投标截止日当月未在同一单位</w:t>
      </w:r>
      <w:r>
        <w:rPr>
          <w:rFonts w:hint="eastAsia" w:ascii="宋体" w:hAnsi="宋体"/>
          <w:color w:val="auto"/>
          <w:szCs w:val="21"/>
          <w:highlight w:val="none"/>
        </w:rPr>
        <w:t xml:space="preserve">执业或</w:t>
      </w:r>
      <w:r>
        <w:rPr>
          <w:rFonts w:ascii="宋体" w:hAnsi="宋体"/>
          <w:color w:val="auto"/>
          <w:szCs w:val="21"/>
          <w:highlight w:val="none"/>
        </w:rPr>
        <w:t xml:space="preserve">缴纳社会保险。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7.我方与参与本次采购活动的其他供应商的法定代表人或委托代理人无夫妻、直系血亲关系。</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8.我方与参与本次采购活动的其他供应商的负责人不是同一人，也不存在直接控股、管理关系。</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9.我方已详细审阅全部</w:t>
      </w:r>
      <w:r>
        <w:rPr>
          <w:rFonts w:hint="eastAsia" w:ascii="宋体" w:hAnsi="宋体"/>
          <w:color w:val="auto"/>
          <w:szCs w:val="21"/>
          <w:highlight w:val="none"/>
        </w:rPr>
        <w:t xml:space="preserve">招标文件</w:t>
      </w:r>
      <w:r>
        <w:rPr>
          <w:rFonts w:ascii="宋体" w:hAnsi="宋体"/>
          <w:color w:val="auto"/>
          <w:szCs w:val="21"/>
          <w:highlight w:val="none"/>
        </w:rPr>
        <w:t xml:space="preserve">及其有效补充文件，放弃对</w:t>
      </w:r>
      <w:r>
        <w:rPr>
          <w:rFonts w:hint="eastAsia" w:ascii="宋体" w:hAnsi="宋体"/>
          <w:color w:val="auto"/>
          <w:szCs w:val="21"/>
          <w:highlight w:val="none"/>
        </w:rPr>
        <w:t xml:space="preserve">招标文件</w:t>
      </w:r>
      <w:r>
        <w:rPr>
          <w:rFonts w:ascii="宋体" w:hAnsi="宋体"/>
          <w:color w:val="auto"/>
          <w:szCs w:val="21"/>
          <w:highlight w:val="none"/>
        </w:rPr>
        <w:t xml:space="preserve">任何误解的权利，提交投标</w:t>
      </w:r>
      <w:r>
        <w:rPr>
          <w:rFonts w:hint="eastAsia" w:ascii="宋体" w:hAnsi="宋体"/>
          <w:color w:val="auto"/>
          <w:szCs w:val="21"/>
          <w:highlight w:val="none"/>
        </w:rPr>
        <w:t xml:space="preserve">（响应）</w:t>
      </w:r>
      <w:r>
        <w:rPr>
          <w:rFonts w:ascii="宋体" w:hAnsi="宋体"/>
          <w:color w:val="auto"/>
          <w:szCs w:val="21"/>
          <w:highlight w:val="none"/>
        </w:rPr>
        <w:t xml:space="preserve">文件后，不对</w:t>
      </w:r>
      <w:r>
        <w:rPr>
          <w:rFonts w:hint="eastAsia" w:ascii="宋体" w:hAnsi="宋体"/>
          <w:color w:val="auto"/>
          <w:szCs w:val="21"/>
          <w:highlight w:val="none"/>
        </w:rPr>
        <w:t xml:space="preserve">招标文件</w:t>
      </w:r>
      <w:r>
        <w:rPr>
          <w:rFonts w:ascii="宋体" w:hAnsi="宋体"/>
          <w:color w:val="auto"/>
          <w:szCs w:val="21"/>
          <w:highlight w:val="none"/>
        </w:rPr>
        <w:t xml:space="preserve">本身提出质疑。否则，属于不诚信和故意扰乱政府采购活动行为，我们将无条件接受处罚。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10.我方同意从规定的开标日期起遵循本投标</w:t>
      </w:r>
      <w:r>
        <w:rPr>
          <w:rFonts w:hint="eastAsia" w:ascii="宋体" w:hAnsi="宋体"/>
          <w:color w:val="auto"/>
          <w:szCs w:val="21"/>
          <w:highlight w:val="none"/>
        </w:rPr>
        <w:t xml:space="preserve">（响应）</w:t>
      </w:r>
      <w:r>
        <w:rPr>
          <w:rFonts w:ascii="宋体" w:hAnsi="宋体"/>
          <w:color w:val="auto"/>
          <w:szCs w:val="21"/>
          <w:highlight w:val="none"/>
        </w:rPr>
        <w:t xml:space="preserve">文件，并在规定的投标有效期期满之前均具有约束力。</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11.一旦我方中标，将根据</w:t>
      </w:r>
      <w:r>
        <w:rPr>
          <w:rFonts w:hint="eastAsia" w:ascii="宋体" w:hAnsi="宋体"/>
          <w:color w:val="auto"/>
          <w:szCs w:val="21"/>
          <w:highlight w:val="none"/>
        </w:rPr>
        <w:t xml:space="preserve">招标文件</w:t>
      </w:r>
      <w:r>
        <w:rPr>
          <w:rFonts w:ascii="宋体" w:hAnsi="宋体"/>
          <w:color w:val="auto"/>
          <w:szCs w:val="21"/>
          <w:highlight w:val="none"/>
        </w:rPr>
        <w:t xml:space="preserve">的规定严格履行合同，并保证按承诺的时间完成</w:t>
      </w:r>
      <w:r>
        <w:rPr>
          <w:rFonts w:hint="eastAsia" w:ascii="宋体" w:hAnsi="宋体"/>
          <w:color w:val="auto"/>
          <w:szCs w:val="21"/>
          <w:highlight w:val="none"/>
        </w:rPr>
        <w:t xml:space="preserve">相关工作</w:t>
      </w:r>
      <w:r>
        <w:rPr>
          <w:rFonts w:ascii="宋体" w:hAnsi="宋体"/>
          <w:color w:val="auto"/>
          <w:szCs w:val="21"/>
          <w:highlight w:val="none"/>
        </w:rPr>
        <w:t xml:space="preserve">，交付</w:t>
      </w:r>
      <w:r>
        <w:rPr>
          <w:rFonts w:hint="eastAsia" w:ascii="宋体" w:hAnsi="宋体"/>
          <w:color w:val="auto"/>
          <w:szCs w:val="21"/>
          <w:highlight w:val="none"/>
        </w:rPr>
        <w:t xml:space="preserve">采购人，</w:t>
      </w:r>
      <w:r>
        <w:rPr>
          <w:rFonts w:ascii="宋体" w:hAnsi="宋体"/>
          <w:color w:val="auto"/>
          <w:szCs w:val="21"/>
          <w:highlight w:val="none"/>
        </w:rPr>
        <w:t xml:space="preserve">验收</w:t>
      </w:r>
      <w:r>
        <w:rPr>
          <w:rFonts w:hint="eastAsia" w:ascii="宋体" w:hAnsi="宋体"/>
          <w:color w:val="auto"/>
          <w:szCs w:val="21"/>
          <w:highlight w:val="none"/>
        </w:rPr>
        <w:t xml:space="preserve">合格</w:t>
      </w:r>
      <w:r>
        <w:rPr>
          <w:rFonts w:ascii="宋体" w:hAnsi="宋体"/>
          <w:color w:val="auto"/>
          <w:szCs w:val="21"/>
          <w:highlight w:val="none"/>
        </w:rPr>
        <w:t xml:space="preserve">、</w:t>
      </w:r>
      <w:r>
        <w:rPr>
          <w:rFonts w:hint="eastAsia" w:ascii="宋体" w:hAnsi="宋体"/>
          <w:color w:val="auto"/>
          <w:szCs w:val="21"/>
          <w:highlight w:val="none"/>
        </w:rPr>
        <w:t xml:space="preserve">交付</w:t>
      </w:r>
      <w:r>
        <w:rPr>
          <w:rFonts w:ascii="宋体" w:hAnsi="宋体"/>
          <w:color w:val="auto"/>
          <w:szCs w:val="21"/>
          <w:highlight w:val="none"/>
        </w:rPr>
        <w:t xml:space="preserve">使用。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12.我方决不提供虚假材料谋取中标</w:t>
      </w:r>
      <w:r>
        <w:rPr>
          <w:rFonts w:hint="eastAsia" w:ascii="宋体" w:hAnsi="宋体"/>
          <w:color w:val="auto"/>
          <w:szCs w:val="21"/>
          <w:highlight w:val="none"/>
        </w:rPr>
        <w:t xml:space="preserve">（成交）</w:t>
      </w:r>
      <w:r>
        <w:rPr>
          <w:rFonts w:ascii="宋体" w:hAnsi="宋体"/>
          <w:color w:val="auto"/>
          <w:szCs w:val="21"/>
          <w:highlight w:val="none"/>
        </w:rPr>
        <w:t xml:space="preserve">、决不采取不正当手段诋毁、排挤其他供应商、决不与</w:t>
      </w:r>
      <w:r>
        <w:rPr>
          <w:rFonts w:hint="eastAsia" w:ascii="宋体" w:hAnsi="宋体"/>
          <w:color w:val="auto"/>
          <w:szCs w:val="21"/>
          <w:highlight w:val="none"/>
        </w:rPr>
        <w:t xml:space="preserve">采购人</w:t>
      </w:r>
      <w:r>
        <w:rPr>
          <w:rFonts w:ascii="宋体" w:hAnsi="宋体"/>
          <w:color w:val="auto"/>
          <w:szCs w:val="21"/>
          <w:highlight w:val="none"/>
        </w:rPr>
        <w:t xml:space="preserve">、其它供应商或者</w:t>
      </w:r>
      <w:r>
        <w:rPr>
          <w:rFonts w:hint="eastAsia" w:ascii="宋体" w:hAnsi="宋体"/>
          <w:color w:val="auto"/>
          <w:szCs w:val="21"/>
          <w:highlight w:val="none"/>
        </w:rPr>
        <w:t xml:space="preserve">分散采购代理机构</w:t>
      </w:r>
      <w:r>
        <w:rPr>
          <w:rFonts w:ascii="宋体" w:hAnsi="宋体"/>
          <w:color w:val="auto"/>
          <w:szCs w:val="21"/>
          <w:highlight w:val="none"/>
        </w:rPr>
        <w:t xml:space="preserve">恶意串通、决不向</w:t>
      </w:r>
      <w:r>
        <w:rPr>
          <w:rFonts w:hint="eastAsia" w:ascii="宋体" w:hAnsi="宋体"/>
          <w:color w:val="auto"/>
          <w:szCs w:val="21"/>
          <w:highlight w:val="none"/>
        </w:rPr>
        <w:t xml:space="preserve">采购人</w:t>
      </w:r>
      <w:r>
        <w:rPr>
          <w:rFonts w:ascii="宋体" w:hAnsi="宋体"/>
          <w:color w:val="auto"/>
          <w:szCs w:val="21"/>
          <w:highlight w:val="none"/>
        </w:rPr>
        <w:t xml:space="preserve">、</w:t>
      </w:r>
      <w:r>
        <w:rPr>
          <w:rFonts w:hint="eastAsia" w:ascii="宋体" w:hAnsi="宋体"/>
          <w:color w:val="auto"/>
          <w:szCs w:val="21"/>
          <w:highlight w:val="none"/>
        </w:rPr>
        <w:t xml:space="preserve">分散采购代理机构</w:t>
      </w:r>
      <w:r>
        <w:rPr>
          <w:rFonts w:ascii="宋体" w:hAnsi="宋体"/>
          <w:color w:val="auto"/>
          <w:szCs w:val="21"/>
          <w:highlight w:val="none"/>
        </w:rPr>
        <w:t xml:space="preserve">工作人员和评委进行商业贿赂、决不拒绝有关部门监督检查或提供虚假情况，如有违反，无条件接受贵方及相关管理部门的处罚。</w:t>
      </w:r>
      <w:r/>
    </w:p>
    <w:p>
      <w:pPr>
        <w:ind w:firstLine="3360"/>
        <w:spacing w:line="360" w:lineRule="auto"/>
        <w:rPr>
          <w:rFonts w:ascii="宋体" w:hAnsi="宋体"/>
          <w:color w:val="auto"/>
          <w:szCs w:val="21"/>
          <w:highlight w:val="none"/>
        </w:rPr>
      </w:pPr>
      <w:r>
        <w:rPr>
          <w:rFonts w:hint="eastAsia" w:ascii="宋体" w:hAnsi="宋体"/>
          <w:color w:val="auto"/>
          <w:szCs w:val="21"/>
          <w:highlight w:val="none"/>
        </w:rPr>
        <w:t xml:space="preserve">承诺人</w:t>
      </w:r>
      <w:r>
        <w:rPr>
          <w:rFonts w:ascii="宋体" w:hAnsi="宋体"/>
          <w:color w:val="auto"/>
          <w:szCs w:val="21"/>
          <w:highlight w:val="none"/>
        </w:rPr>
        <w:t xml:space="preserve">（</w:t>
      </w:r>
      <w:r>
        <w:rPr>
          <w:rFonts w:hint="eastAsia" w:ascii="宋体" w:hAnsi="宋体"/>
          <w:color w:val="auto"/>
          <w:szCs w:val="21"/>
          <w:highlight w:val="none"/>
        </w:rPr>
        <w:t xml:space="preserve">公章</w:t>
      </w:r>
      <w:r>
        <w:rPr>
          <w:rFonts w:ascii="宋体" w:hAnsi="宋体"/>
          <w:color w:val="auto"/>
          <w:szCs w:val="21"/>
          <w:highlight w:val="none"/>
        </w:rPr>
        <w:t xml:space="preserve">）：  </w:t>
      </w:r>
      <w:r>
        <w:rPr>
          <w:rFonts w:ascii="宋体" w:hAnsi="宋体"/>
          <w:color w:val="auto"/>
          <w:szCs w:val="21"/>
          <w:highlight w:val="none"/>
        </w:rPr>
        <w:tab/>
      </w:r>
      <w:r>
        <w:rPr>
          <w:rFonts w:ascii="宋体" w:hAnsi="宋体"/>
          <w:color w:val="auto"/>
          <w:szCs w:val="21"/>
          <w:highlight w:val="none"/>
        </w:rPr>
        <w:t xml:space="preserve"> </w:t>
      </w:r>
      <w:r/>
    </w:p>
    <w:p>
      <w:pPr>
        <w:ind w:firstLine="3360"/>
        <w:spacing w:line="360" w:lineRule="auto"/>
        <w:rPr>
          <w:rFonts w:ascii="宋体" w:hAnsi="宋体"/>
          <w:color w:val="auto"/>
          <w:szCs w:val="21"/>
          <w:highlight w:val="none"/>
        </w:rPr>
      </w:pPr>
      <w:r>
        <w:rPr>
          <w:rFonts w:ascii="宋体" w:hAnsi="宋体"/>
          <w:color w:val="auto"/>
          <w:szCs w:val="21"/>
          <w:highlight w:val="none"/>
        </w:rPr>
      </w:r>
      <w:r/>
    </w:p>
    <w:p>
      <w:pPr>
        <w:ind w:firstLine="3360"/>
        <w:spacing w:line="360" w:lineRule="auto"/>
        <w:rPr>
          <w:rFonts w:ascii="宋体" w:hAnsi="宋体"/>
          <w:color w:val="auto"/>
          <w:szCs w:val="21"/>
          <w:highlight w:val="none"/>
        </w:rPr>
      </w:pPr>
      <w:r>
        <w:rPr>
          <w:rFonts w:ascii="宋体" w:hAnsi="宋体"/>
          <w:color w:val="auto"/>
          <w:szCs w:val="21"/>
          <w:highlight w:val="none"/>
        </w:rPr>
        <w:t xml:space="preserve">日 期：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rPr>
          <w:rFonts w:ascii="宋体" w:hAnsi="宋体"/>
          <w:color w:val="auto"/>
          <w:szCs w:val="21"/>
          <w:highlight w:val="none"/>
        </w:rPr>
      </w:pPr>
      <w:r>
        <w:rPr>
          <w:rFonts w:ascii="宋体" w:hAnsi="宋体"/>
          <w:color w:val="auto"/>
          <w:szCs w:val="21"/>
          <w:highlight w:val="none"/>
        </w:rPr>
        <w:br w:type="page" w:clear="all"/>
      </w:r>
      <w:r/>
    </w:p>
    <w:p>
      <w:pPr>
        <w:spacing w:line="360" w:lineRule="auto"/>
        <w:rPr>
          <w:rFonts w:ascii="宋体" w:hAnsi="宋体"/>
          <w:color w:val="auto"/>
          <w:szCs w:val="21"/>
          <w:highlight w:val="none"/>
        </w:rPr>
      </w:pPr>
      <w:r>
        <w:rPr>
          <w:rFonts w:ascii="宋体" w:hAnsi="宋体"/>
          <w:color w:val="auto"/>
          <w:szCs w:val="21"/>
          <w:highlight w:val="none"/>
        </w:rPr>
      </w:r>
      <w:r/>
    </w:p>
    <w:p>
      <w:pPr>
        <w:pStyle w:val="891"/>
        <w:ind w:left="958"/>
        <w:spacing w:line="360" w:lineRule="auto"/>
        <w:rPr>
          <w:color w:val="auto"/>
          <w:highlight w:val="none"/>
        </w:rPr>
      </w:pPr>
      <w:r>
        <w:rPr>
          <w:color w:val="auto"/>
          <w:highlight w:val="none"/>
        </w:rPr>
      </w:r>
      <w:r/>
    </w:p>
    <w:p>
      <w:pPr>
        <w:pStyle w:val="876"/>
        <w:jc w:val="left"/>
        <w:spacing w:before="0" w:after="0" w:line="360" w:lineRule="auto"/>
        <w:rPr>
          <w:rFonts w:ascii="宋体" w:hAnsi="宋体" w:eastAsia="宋体" w:cs="宋体"/>
          <w:color w:val="auto"/>
          <w:sz w:val="24"/>
          <w:szCs w:val="24"/>
          <w:highlight w:val="none"/>
          <w:lang w:val="zh-CN"/>
        </w:rPr>
      </w:pPr>
      <w:r/>
      <w:bookmarkStart w:id="69" w:name="_Toc1763"/>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val="zh-CN"/>
        </w:rPr>
        <w:t xml:space="preserve">：开标一览表格式</w:t>
      </w:r>
      <w:bookmarkEnd w:id="69"/>
      <w:r/>
      <w:r/>
    </w:p>
    <w:p>
      <w:pPr>
        <w:jc w:val="center"/>
        <w:spacing w:line="360" w:lineRule="auto"/>
        <w:rPr>
          <w:rFonts w:ascii="宋体"/>
          <w:b/>
          <w:color w:val="auto"/>
          <w:sz w:val="36"/>
          <w:szCs w:val="36"/>
          <w:highlight w:val="none"/>
        </w:rPr>
      </w:pPr>
      <w:r>
        <w:rPr>
          <w:rFonts w:hint="eastAsia" w:ascii="宋体" w:hAnsi="宋体" w:cs="宋体"/>
          <w:b/>
          <w:color w:val="auto"/>
          <w:sz w:val="36"/>
          <w:szCs w:val="36"/>
          <w:highlight w:val="none"/>
        </w:rPr>
        <w:t xml:space="preserve">开标一览表</w:t>
      </w:r>
      <w:r/>
    </w:p>
    <w:p>
      <w:pPr>
        <w:jc w:val="center"/>
        <w:spacing w:line="360" w:lineRule="auto"/>
        <w:shd w:val="clear" w:color="auto" w:fill="ffffff"/>
        <w:widowControl/>
        <w:rPr>
          <w:rFonts w:ascii="宋体"/>
          <w:color w:val="auto"/>
          <w:sz w:val="24"/>
          <w:highlight w:val="none"/>
        </w:rPr>
      </w:pPr>
      <w:r>
        <w:rPr>
          <w:rFonts w:ascii="宋体"/>
          <w:color w:val="auto"/>
          <w:sz w:val="24"/>
          <w:highlight w:val="none"/>
        </w:rPr>
      </w:r>
      <w:r/>
    </w:p>
    <w:p>
      <w:pPr>
        <w:pStyle w:val="891"/>
        <w:ind w:firstLine="472"/>
        <w:spacing w:line="360" w:lineRule="auto"/>
        <w:rPr>
          <w:rFonts w:ascii="宋体"/>
          <w:color w:val="auto"/>
          <w:szCs w:val="21"/>
          <w:highlight w:val="none"/>
        </w:rPr>
      </w:pPr>
      <w:r>
        <w:rPr>
          <w:rFonts w:hint="eastAsia" w:ascii="宋体" w:hAnsi="宋体" w:cs="宋体"/>
          <w:color w:val="auto"/>
          <w:szCs w:val="21"/>
          <w:highlight w:val="none"/>
        </w:rPr>
        <w:t xml:space="preserve">项目名称：                                        项目编号：</w:t>
      </w:r>
      <w:r/>
    </w:p>
    <w:tbl>
      <w:tblPr>
        <w:tblStyle w:val="885"/>
        <w:tblW w:w="9100" w:type="dxa"/>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3"/>
        <w:gridCol w:w="7317"/>
      </w:tblGrid>
      <w:tr>
        <w:trPr>
          <w:cantSplit/>
          <w:trHeight w:val="1198"/>
        </w:trPr>
        <w:tc>
          <w:tcPr>
            <w:tcW w:w="1783" w:type="dxa"/>
            <w:vAlign w:val="center"/>
            <w:textDirection w:val="lrTb"/>
            <w:noWrap w:val="false"/>
          </w:tcPr>
          <w:p>
            <w:pPr>
              <w:pStyle w:val="891"/>
              <w:spacing w:line="360" w:lineRule="auto"/>
              <w:rPr>
                <w:rFonts w:ascii="宋体" w:hAnsi="宋体" w:cs="Arial"/>
                <w:color w:val="auto"/>
                <w:szCs w:val="21"/>
                <w:highlight w:val="none"/>
              </w:rPr>
            </w:pPr>
            <w:r>
              <w:rPr>
                <w:rFonts w:hint="eastAsia" w:ascii="宋体" w:hAnsi="宋体" w:cs="Arial"/>
                <w:color w:val="auto"/>
                <w:szCs w:val="21"/>
                <w:highlight w:val="none"/>
              </w:rPr>
              <w:t xml:space="preserve">投标报价</w:t>
            </w:r>
            <w:r/>
          </w:p>
        </w:tc>
        <w:tc>
          <w:tcPr>
            <w:tcBorders>
              <w:bottom w:val="single" w:color="auto" w:sz="4" w:space="0"/>
            </w:tcBorders>
            <w:tcW w:w="7317" w:type="dxa"/>
            <w:vAlign w:val="center"/>
            <w:textDirection w:val="lrTb"/>
            <w:noWrap w:val="false"/>
          </w:tcPr>
          <w:p>
            <w:pPr>
              <w:pStyle w:val="891"/>
              <w:ind w:firstLine="210"/>
              <w:spacing w:line="360" w:lineRule="auto"/>
              <w:rPr>
                <w:rFonts w:ascii="宋体" w:hAnsi="宋体" w:cs="Arial"/>
                <w:color w:val="auto"/>
                <w:szCs w:val="21"/>
                <w:highlight w:val="none"/>
              </w:rPr>
            </w:pPr>
            <w:r>
              <w:rPr>
                <w:rFonts w:hint="eastAsia" w:ascii="宋体" w:hAnsi="宋体" w:cs="Arial"/>
                <w:color w:val="auto"/>
                <w:szCs w:val="21"/>
                <w:highlight w:val="none"/>
              </w:rPr>
              <w:t xml:space="preserve">          万元</w:t>
            </w:r>
            <w:r/>
          </w:p>
        </w:tc>
      </w:tr>
      <w:tr>
        <w:trPr>
          <w:cantSplit/>
          <w:trHeight w:val="1198"/>
        </w:trPr>
        <w:tc>
          <w:tcPr>
            <w:tcW w:w="1783" w:type="dxa"/>
            <w:vAlign w:val="center"/>
            <w:textDirection w:val="lrTb"/>
            <w:noWrap w:val="false"/>
          </w:tcPr>
          <w:p>
            <w:pPr>
              <w:pStyle w:val="891"/>
              <w:ind w:firstLine="0"/>
              <w:jc w:val="center"/>
              <w:spacing w:line="360" w:lineRule="auto"/>
              <w:rPr>
                <w:rFonts w:ascii="宋体" w:hAnsi="宋体" w:cs="Arial"/>
                <w:color w:val="auto"/>
                <w:szCs w:val="21"/>
                <w:highlight w:val="none"/>
              </w:rPr>
            </w:pPr>
            <w:r>
              <w:rPr>
                <w:rFonts w:hint="eastAsia" w:ascii="宋体" w:hAnsi="宋体" w:cs="宋体"/>
                <w:color w:val="auto"/>
                <w:highlight w:val="none"/>
              </w:rPr>
              <w:t xml:space="preserve">合同履行期限</w:t>
            </w:r>
            <w:r/>
          </w:p>
        </w:tc>
        <w:tc>
          <w:tcPr>
            <w:tcBorders>
              <w:bottom w:val="single" w:color="auto" w:sz="4" w:space="0"/>
            </w:tcBorders>
            <w:tcW w:w="7317" w:type="dxa"/>
            <w:vAlign w:val="center"/>
            <w:textDirection w:val="lrTb"/>
            <w:noWrap w:val="false"/>
          </w:tcPr>
          <w:p>
            <w:pPr>
              <w:pStyle w:val="891"/>
              <w:spacing w:line="360" w:lineRule="auto"/>
              <w:rPr>
                <w:rFonts w:ascii="宋体" w:hAnsi="宋体" w:cs="Arial"/>
                <w:color w:val="auto"/>
                <w:szCs w:val="21"/>
                <w:highlight w:val="none"/>
              </w:rPr>
            </w:pPr>
            <w:r>
              <w:rPr>
                <w:rFonts w:ascii="宋体" w:hAnsi="宋体" w:cs="Arial"/>
                <w:color w:val="auto"/>
                <w:szCs w:val="21"/>
                <w:highlight w:val="none"/>
              </w:rPr>
            </w:r>
            <w:r/>
          </w:p>
        </w:tc>
      </w:tr>
      <w:tr>
        <w:trPr>
          <w:trHeight w:val="1206"/>
        </w:trPr>
        <w:tc>
          <w:tcPr>
            <w:tcW w:w="1783" w:type="dxa"/>
            <w:vAlign w:val="center"/>
            <w:textDirection w:val="lrTb"/>
            <w:noWrap w:val="false"/>
          </w:tcPr>
          <w:p>
            <w:pPr>
              <w:pStyle w:val="891"/>
              <w:ind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供应商是否属于小微型企业</w:t>
            </w:r>
            <w:r/>
          </w:p>
        </w:tc>
        <w:tc>
          <w:tcPr>
            <w:tcW w:w="7317" w:type="dxa"/>
            <w:vAlign w:val="center"/>
            <w:textDirection w:val="lrTb"/>
            <w:noWrap w:val="false"/>
          </w:tcPr>
          <w:p>
            <w:pPr>
              <w:pStyle w:val="891"/>
              <w:ind w:firstLine="472"/>
              <w:spacing w:line="360" w:lineRule="auto"/>
              <w:rPr>
                <w:rFonts w:ascii="宋体" w:hAnsi="宋体" w:cs="Arial"/>
                <w:color w:val="auto"/>
                <w:szCs w:val="21"/>
                <w:highlight w:val="none"/>
              </w:rPr>
            </w:pP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 xml:space="preserve">（</w:t>
            </w:r>
            <w:r>
              <w:rPr>
                <w:rFonts w:hint="eastAsia" w:ascii="宋体" w:hAnsi="宋体" w:cs="Arial"/>
                <w:color w:val="auto"/>
                <w:szCs w:val="21"/>
                <w:highlight w:val="none"/>
                <w:lang w:val="zh-CN"/>
              </w:rPr>
              <w:t xml:space="preserve">填写“是”或“否</w:t>
            </w:r>
            <w:r>
              <w:rPr>
                <w:rFonts w:hint="eastAsia" w:ascii="宋体" w:hAnsi="宋体" w:cs="Arial"/>
                <w:color w:val="auto"/>
                <w:szCs w:val="21"/>
                <w:highlight w:val="none"/>
              </w:rPr>
              <w:t xml:space="preserve">）</w:t>
            </w:r>
            <w:r/>
          </w:p>
        </w:tc>
      </w:tr>
    </w:tbl>
    <w:p>
      <w:pPr>
        <w:pStyle w:val="891"/>
        <w:ind w:firstLine="0"/>
        <w:spacing w:line="360" w:lineRule="auto"/>
        <w:rPr>
          <w:rFonts w:ascii="宋体" w:hAnsi="宋体" w:cs="Arial"/>
          <w:color w:val="auto"/>
          <w:szCs w:val="21"/>
          <w:highlight w:val="none"/>
        </w:rPr>
      </w:pPr>
      <w:r>
        <w:rPr>
          <w:rFonts w:ascii="宋体" w:hAnsi="宋体" w:cs="Arial"/>
          <w:color w:val="auto"/>
          <w:szCs w:val="21"/>
          <w:highlight w:val="none"/>
        </w:rPr>
      </w:r>
      <w:r/>
    </w:p>
    <w:p>
      <w:pPr>
        <w:pStyle w:val="891"/>
        <w:ind w:firstLine="0"/>
        <w:spacing w:line="360" w:lineRule="auto"/>
        <w:rPr>
          <w:rFonts w:ascii="宋体" w:hAnsi="宋体" w:cs="Arial"/>
          <w:color w:val="auto"/>
          <w:szCs w:val="21"/>
          <w:highlight w:val="none"/>
        </w:rPr>
      </w:pPr>
      <w:r>
        <w:rPr>
          <w:rFonts w:hint="eastAsia" w:ascii="宋体" w:hAnsi="宋体" w:cs="微软雅黑"/>
          <w:color w:val="auto"/>
          <w:szCs w:val="21"/>
          <w:highlight w:val="none"/>
        </w:rPr>
        <w:t xml:space="preserve">供应商名称</w:t>
      </w:r>
      <w:r>
        <w:rPr>
          <w:rFonts w:hint="eastAsia" w:ascii="宋体" w:hAnsi="宋体" w:cs="Arial"/>
          <w:color w:val="auto"/>
          <w:szCs w:val="21"/>
          <w:highlight w:val="none"/>
        </w:rPr>
        <w:t xml:space="preserve">（盖章）:                       </w:t>
      </w:r>
      <w:r/>
    </w:p>
    <w:p>
      <w:pPr>
        <w:pStyle w:val="891"/>
        <w:ind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日            期：        年    月    日</w:t>
      </w:r>
      <w:r/>
    </w:p>
    <w:p>
      <w:pPr>
        <w:pStyle w:val="891"/>
        <w:ind w:firstLine="0"/>
        <w:spacing w:line="360" w:lineRule="auto"/>
        <w:rPr>
          <w:rFonts w:ascii="宋体" w:hAnsi="宋体" w:cs="Arial"/>
          <w:b/>
          <w:bCs/>
          <w:color w:val="auto"/>
          <w:szCs w:val="21"/>
          <w:highlight w:val="none"/>
        </w:rPr>
      </w:pPr>
      <w:r>
        <w:rPr>
          <w:rFonts w:hint="eastAsia" w:ascii="宋体" w:hAnsi="宋体" w:cs="Arial"/>
          <w:b/>
          <w:bCs/>
          <w:color w:val="auto"/>
          <w:szCs w:val="21"/>
          <w:highlight w:val="none"/>
        </w:rPr>
        <w:t xml:space="preserve">说明：</w:t>
      </w:r>
      <w:r/>
    </w:p>
    <w:p>
      <w:pPr>
        <w:pStyle w:val="891"/>
        <w:numPr>
          <w:ilvl w:val="0"/>
          <w:numId w:val="2"/>
        </w:numPr>
        <w:ind w:firstLine="0"/>
        <w:spacing w:line="360" w:lineRule="auto"/>
        <w:rPr>
          <w:rFonts w:ascii="宋体" w:hAnsi="宋体" w:cs="Arial"/>
          <w:b/>
          <w:bCs/>
          <w:color w:val="auto"/>
          <w:szCs w:val="21"/>
          <w:highlight w:val="none"/>
        </w:rPr>
      </w:pPr>
      <w:r>
        <w:rPr>
          <w:rFonts w:hint="eastAsia" w:ascii="宋体" w:hAnsi="宋体" w:cs="Arial"/>
          <w:b/>
          <w:bCs/>
          <w:color w:val="auto"/>
          <w:szCs w:val="21"/>
          <w:highlight w:val="none"/>
        </w:rPr>
        <w:t xml:space="preserve">本项目仅接受一个价格，不得填报有选择性报价方案。</w:t>
      </w:r>
      <w:r/>
    </w:p>
    <w:p>
      <w:pPr>
        <w:pStyle w:val="891"/>
        <w:numPr>
          <w:ilvl w:val="0"/>
          <w:numId w:val="2"/>
        </w:numPr>
        <w:ind w:firstLine="0"/>
        <w:spacing w:line="360" w:lineRule="auto"/>
        <w:rPr>
          <w:rFonts w:ascii="宋体" w:hAnsi="宋体" w:cs="Arial"/>
          <w:b/>
          <w:bCs/>
          <w:color w:val="auto"/>
          <w:szCs w:val="21"/>
          <w:highlight w:val="none"/>
        </w:rPr>
      </w:pPr>
      <w:r>
        <w:rPr>
          <w:rFonts w:hint="eastAsia" w:ascii="宋体" w:hAnsi="宋体" w:cs="Arial"/>
          <w:b/>
          <w:bCs/>
          <w:color w:val="auto"/>
          <w:szCs w:val="21"/>
          <w:highlight w:val="none"/>
        </w:rPr>
        <w:t xml:space="preserve">“投标供应商是否属于小微型企业”栏内填写“是”或“否”。如填写“是”，投标供应商需提供《中小企业声明函》、《残疾人福利性单位声明函》、《属于监狱企业的证明文件》。非小微企业产品不享受价格扣除。</w:t>
      </w:r>
      <w:r/>
    </w:p>
    <w:p>
      <w:pPr>
        <w:pStyle w:val="891"/>
        <w:numPr>
          <w:ilvl w:val="0"/>
          <w:numId w:val="2"/>
        </w:numPr>
        <w:ind w:firstLine="0"/>
        <w:spacing w:line="360" w:lineRule="auto"/>
        <w:rPr>
          <w:rFonts w:ascii="宋体" w:hAnsi="宋体" w:cs="Arial"/>
          <w:b/>
          <w:bCs/>
          <w:color w:val="auto"/>
          <w:szCs w:val="21"/>
          <w:highlight w:val="none"/>
        </w:rPr>
      </w:pPr>
      <w:r>
        <w:rPr>
          <w:rFonts w:hint="eastAsia" w:ascii="宋体" w:hAnsi="宋体" w:cs="Arial"/>
          <w:b/>
          <w:bCs/>
          <w:color w:val="auto"/>
          <w:szCs w:val="21"/>
          <w:highlight w:val="none"/>
        </w:rPr>
        <w:t xml:space="preserve">如未按要求提供、填写，或相关内容表述不清前后矛盾的，不享受价格扣除。</w:t>
      </w:r>
      <w:r/>
    </w:p>
    <w:p>
      <w:pPr>
        <w:pStyle w:val="926"/>
        <w:ind w:left="0" w:firstLine="0"/>
        <w:spacing w:line="360" w:lineRule="auto"/>
        <w:rPr>
          <w:color w:val="auto"/>
          <w:highlight w:val="none"/>
          <w:lang w:val="zh-CN"/>
        </w:rPr>
      </w:pPr>
      <w:r>
        <w:rPr>
          <w:color w:val="auto"/>
          <w:highlight w:val="none"/>
          <w:lang w:val="zh-CN"/>
        </w:rPr>
      </w:r>
      <w:r/>
    </w:p>
    <w:p>
      <w:pPr>
        <w:pStyle w:val="926"/>
        <w:ind w:left="0" w:firstLine="0"/>
        <w:spacing w:line="360" w:lineRule="auto"/>
        <w:rPr>
          <w:color w:val="auto"/>
          <w:highlight w:val="none"/>
          <w:lang w:val="zh-CN"/>
        </w:rPr>
      </w:pPr>
      <w:r>
        <w:rPr>
          <w:color w:val="auto"/>
          <w:highlight w:val="none"/>
          <w:lang w:val="zh-CN"/>
        </w:rPr>
      </w:r>
      <w:r/>
    </w:p>
    <w:p>
      <w:pPr>
        <w:pStyle w:val="926"/>
        <w:ind w:left="0" w:firstLine="0"/>
        <w:spacing w:line="360" w:lineRule="auto"/>
        <w:rPr>
          <w:color w:val="auto"/>
          <w:highlight w:val="none"/>
          <w:lang w:val="zh-CN"/>
        </w:rPr>
      </w:pPr>
      <w:r>
        <w:rPr>
          <w:color w:val="auto"/>
          <w:highlight w:val="none"/>
          <w:lang w:val="zh-CN"/>
        </w:rPr>
      </w:r>
      <w:r/>
    </w:p>
    <w:p>
      <w:pPr>
        <w:pStyle w:val="926"/>
        <w:ind w:left="0" w:firstLine="0"/>
        <w:spacing w:line="360" w:lineRule="auto"/>
        <w:rPr>
          <w:color w:val="auto"/>
          <w:highlight w:val="none"/>
          <w:lang w:val="zh-CN"/>
        </w:rPr>
      </w:pPr>
      <w:r>
        <w:rPr>
          <w:color w:val="auto"/>
          <w:highlight w:val="none"/>
          <w:lang w:val="zh-CN"/>
        </w:rPr>
      </w:r>
      <w:r/>
    </w:p>
    <w:p>
      <w:pPr>
        <w:pStyle w:val="876"/>
        <w:jc w:val="left"/>
        <w:spacing w:before="0" w:after="0" w:line="360" w:lineRule="auto"/>
        <w:rPr>
          <w:rFonts w:ascii="宋体" w:hAnsi="宋体" w:eastAsia="宋体" w:cs="宋体"/>
          <w:color w:val="auto"/>
          <w:sz w:val="24"/>
          <w:szCs w:val="24"/>
          <w:highlight w:val="none"/>
          <w:lang w:val="zh-CN"/>
        </w:rPr>
      </w:pPr>
      <w:r/>
      <w:bookmarkStart w:id="70" w:name="_Toc28322"/>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val="zh-CN"/>
        </w:rPr>
        <w:t xml:space="preserve">、分项报价表格式</w:t>
      </w:r>
      <w:bookmarkEnd w:id="70"/>
      <w:r/>
      <w:r/>
    </w:p>
    <w:p>
      <w:pPr>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jc w:val="center"/>
        <w:spacing w:line="360" w:lineRule="auto"/>
        <w:rPr>
          <w:rFonts w:ascii="宋体" w:hAnsi="宋体"/>
          <w:b/>
          <w:color w:val="auto"/>
          <w:sz w:val="32"/>
          <w:highlight w:val="none"/>
        </w:rPr>
      </w:pPr>
      <w:r>
        <w:rPr>
          <w:rFonts w:hint="eastAsia" w:ascii="宋体" w:hAnsi="宋体"/>
          <w:b/>
          <w:color w:val="auto"/>
          <w:sz w:val="32"/>
          <w:highlight w:val="none"/>
        </w:rPr>
        <w:t xml:space="preserve">分项报价表</w:t>
      </w:r>
      <w:r/>
    </w:p>
    <w:p>
      <w:pPr>
        <w:pStyle w:val="891"/>
        <w:ind w:firstLine="47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                                        项目编号：</w:t>
      </w:r>
      <w:r/>
    </w:p>
    <w:tbl>
      <w:tblPr>
        <w:tblStyle w:val="1290"/>
        <w:tblW w:w="9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2915"/>
        <w:gridCol w:w="1533"/>
        <w:gridCol w:w="1533"/>
        <w:gridCol w:w="2205"/>
      </w:tblGrid>
      <w:tr>
        <w:trPr>
          <w:jc w:val="center"/>
          <w:trHeight w:val="665"/>
        </w:trPr>
        <w:tc>
          <w:tcPr>
            <w:tcW w:w="1342" w:type="dxa"/>
            <w:vAlign w:val="center"/>
            <w:textDirection w:val="lrTb"/>
            <w:noWrap w:val="false"/>
          </w:tcPr>
          <w:p>
            <w:pPr>
              <w:jc w:val="center"/>
              <w:spacing w:line="360"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序号</w:t>
            </w:r>
            <w:r/>
          </w:p>
        </w:tc>
        <w:tc>
          <w:tcPr>
            <w:tcW w:w="2915" w:type="dxa"/>
            <w:vAlign w:val="center"/>
            <w:textDirection w:val="lrTb"/>
            <w:noWrap w:val="false"/>
          </w:tcPr>
          <w:p>
            <w:pPr>
              <w:jc w:val="center"/>
              <w:spacing w:line="360"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内容</w:t>
            </w:r>
            <w:r/>
          </w:p>
        </w:tc>
        <w:tc>
          <w:tcPr>
            <w:tcW w:w="1533" w:type="dxa"/>
            <w:vAlign w:val="center"/>
            <w:textDirection w:val="lrTb"/>
            <w:noWrap w:val="false"/>
          </w:tcPr>
          <w:p>
            <w:pPr>
              <w:jc w:val="center"/>
              <w:spacing w:line="360"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单价</w:t>
            </w:r>
            <w:r/>
          </w:p>
        </w:tc>
        <w:tc>
          <w:tcPr>
            <w:tcW w:w="1533" w:type="dxa"/>
            <w:vAlign w:val="center"/>
            <w:textDirection w:val="lrTb"/>
            <w:noWrap w:val="false"/>
          </w:tcPr>
          <w:p>
            <w:pPr>
              <w:jc w:val="center"/>
              <w:spacing w:line="360"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单项总价</w:t>
            </w:r>
            <w:r/>
          </w:p>
        </w:tc>
        <w:tc>
          <w:tcPr>
            <w:tcW w:w="2205" w:type="dxa"/>
            <w:vAlign w:val="center"/>
            <w:textDirection w:val="lrTb"/>
            <w:noWrap w:val="false"/>
          </w:tcPr>
          <w:p>
            <w:pPr>
              <w:jc w:val="center"/>
              <w:spacing w:line="360"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备注</w:t>
            </w:r>
            <w:r/>
          </w:p>
        </w:tc>
      </w:tr>
      <w:tr>
        <w:trPr>
          <w:jc w:val="center"/>
          <w:trHeight w:val="665"/>
        </w:trPr>
        <w:tc>
          <w:tcPr>
            <w:tcW w:w="1342"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2915"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1533"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1533"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2205"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665"/>
        </w:trPr>
        <w:tc>
          <w:tcPr>
            <w:tcW w:w="1342"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2915"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1533"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1533"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2205"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665"/>
        </w:trPr>
        <w:tc>
          <w:tcPr>
            <w:tcW w:w="1342"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2915"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1533"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1533"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2205"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665"/>
        </w:trPr>
        <w:tc>
          <w:tcPr>
            <w:tcW w:w="1342"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2915"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1533"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1533"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2205"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r>
    </w:tbl>
    <w:p>
      <w:pPr>
        <w:spacing w:line="360" w:lineRule="auto"/>
        <w:rPr>
          <w:color w:val="auto"/>
          <w:highlight w:val="none"/>
        </w:rPr>
      </w:pPr>
      <w:r>
        <w:rPr>
          <w:color w:val="auto"/>
          <w:highlight w:val="none"/>
        </w:rPr>
      </w:r>
      <w:r/>
    </w:p>
    <w:p>
      <w:pPr>
        <w:ind w:firstLine="316"/>
        <w:spacing w:line="360" w:lineRule="auto"/>
        <w:rPr>
          <w:rFonts w:ascii="宋体" w:hAnsi="宋体"/>
          <w:b/>
          <w:bCs/>
          <w:color w:val="auto"/>
          <w:szCs w:val="21"/>
          <w:highlight w:val="none"/>
        </w:rPr>
        <w:outlineLvl w:val="1"/>
      </w:pPr>
      <w:r/>
      <w:bookmarkStart w:id="71" w:name="_Toc21582"/>
      <w:r>
        <w:rPr>
          <w:rFonts w:hint="eastAsia" w:ascii="宋体" w:hAnsi="宋体"/>
          <w:b/>
          <w:bCs/>
          <w:color w:val="auto"/>
          <w:szCs w:val="21"/>
          <w:highlight w:val="none"/>
        </w:rPr>
        <w:t xml:space="preserve">注：</w:t>
      </w:r>
      <w:bookmarkEnd w:id="71"/>
      <w:r/>
      <w:r/>
    </w:p>
    <w:p>
      <w:pPr>
        <w:ind w:firstLine="420"/>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1、本项目报价包括招标文件所确定的采购范围相应服务管理工作所涉及到的一切费用，包含但不仅限于员工工资、社会保险费、公积金、福利费、体检费、培训费、其他人员费用支出、各种保险、各种税费、管理、利润、税金、政策性文件规定及合同包含的所有风险、责任等各项应有费用，采购人不再支付其他任何费用。</w:t>
      </w:r>
      <w:r/>
    </w:p>
    <w:p>
      <w:pPr>
        <w:ind w:firstLine="420"/>
        <w:spacing w:line="360" w:lineRule="auto"/>
        <w:rPr>
          <w:rFonts w:ascii="宋体" w:hAnsi="宋体"/>
          <w:color w:val="auto"/>
          <w:szCs w:val="21"/>
          <w:highlight w:val="none"/>
        </w:rPr>
        <w:outlineLvl w:val="0"/>
      </w:pPr>
      <w:r/>
      <w:bookmarkStart w:id="72" w:name="_Toc19077"/>
      <w:r>
        <w:rPr>
          <w:rFonts w:hint="eastAsia" w:ascii="宋体" w:hAnsi="宋体" w:cs="宋体"/>
          <w:color w:val="auto"/>
          <w:szCs w:val="21"/>
          <w:highlight w:val="none"/>
        </w:rPr>
        <w:t xml:space="preserve">2、分项内容依据招标项目的采购需求编制，供应商可自行添加报价分项</w:t>
      </w:r>
      <w:r>
        <w:rPr>
          <w:rFonts w:hint="eastAsia" w:ascii="宋体" w:hAnsi="宋体"/>
          <w:color w:val="auto"/>
          <w:szCs w:val="21"/>
          <w:highlight w:val="none"/>
        </w:rPr>
        <w:t xml:space="preserve">。</w:t>
      </w:r>
      <w:bookmarkEnd w:id="72"/>
      <w:r/>
      <w:r/>
    </w:p>
    <w:p>
      <w:pPr>
        <w:pStyle w:val="899"/>
        <w:ind w:left="1260"/>
        <w:spacing w:line="360" w:lineRule="auto"/>
        <w:rPr>
          <w:color w:val="auto"/>
          <w:highlight w:val="none"/>
        </w:rPr>
      </w:pPr>
      <w:r>
        <w:rPr>
          <w:color w:val="auto"/>
          <w:highlight w:val="none"/>
        </w:rPr>
      </w:r>
      <w:r/>
    </w:p>
    <w:p>
      <w:pPr>
        <w:ind w:firstLine="360"/>
        <w:spacing w:line="360" w:lineRule="auto"/>
        <w:rPr>
          <w:rFonts w:ascii="宋体" w:hAnsi="宋体"/>
          <w:color w:val="auto"/>
          <w:sz w:val="24"/>
          <w:highlight w:val="none"/>
        </w:rPr>
      </w:pPr>
      <w:r>
        <w:rPr>
          <w:rFonts w:ascii="宋体" w:hAnsi="宋体"/>
          <w:color w:val="auto"/>
          <w:sz w:val="24"/>
          <w:highlight w:val="none"/>
        </w:rPr>
      </w:r>
      <w:r/>
    </w:p>
    <w:p>
      <w:pPr>
        <w:pStyle w:val="891"/>
        <w:ind w:firstLine="0"/>
        <w:spacing w:line="360" w:lineRule="auto"/>
        <w:rPr>
          <w:rFonts w:ascii="宋体" w:hAnsi="宋体" w:cs="Arial"/>
          <w:color w:val="auto"/>
          <w:szCs w:val="21"/>
          <w:highlight w:val="none"/>
        </w:rPr>
      </w:pPr>
      <w:r>
        <w:rPr>
          <w:rFonts w:hint="eastAsia" w:ascii="宋体" w:hAnsi="宋体" w:cs="微软雅黑"/>
          <w:color w:val="auto"/>
          <w:szCs w:val="21"/>
          <w:highlight w:val="none"/>
        </w:rPr>
        <w:t xml:space="preserve">供应商名称</w:t>
      </w:r>
      <w:r>
        <w:rPr>
          <w:rFonts w:hint="eastAsia" w:ascii="宋体" w:hAnsi="宋体" w:cs="Arial"/>
          <w:color w:val="auto"/>
          <w:szCs w:val="21"/>
          <w:highlight w:val="none"/>
        </w:rPr>
        <w:t xml:space="preserve">（盖章）:                       </w:t>
      </w:r>
      <w:r/>
    </w:p>
    <w:p>
      <w:pPr>
        <w:pStyle w:val="891"/>
        <w:ind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日            期：        年    月    日</w:t>
      </w:r>
      <w:r/>
    </w:p>
    <w:p>
      <w:pPr>
        <w:ind w:firstLine="420"/>
        <w:spacing w:line="360" w:lineRule="auto"/>
        <w:tabs>
          <w:tab w:val="left" w:pos="1440" w:leader="none"/>
        </w:tabs>
        <w:rPr>
          <w:rFonts w:ascii="宋体" w:hAnsi="宋体"/>
          <w:color w:val="auto"/>
          <w:highlight w:val="none"/>
        </w:rPr>
      </w:pPr>
      <w:r>
        <w:rPr>
          <w:rFonts w:ascii="宋体" w:hAnsi="宋体"/>
          <w:color w:val="auto"/>
          <w:highlight w:val="none"/>
        </w:rPr>
      </w:r>
      <w:r/>
    </w:p>
    <w:p>
      <w:pPr>
        <w:pStyle w:val="891"/>
        <w:ind w:firstLine="0"/>
        <w:spacing w:line="360" w:lineRule="auto"/>
        <w:rPr>
          <w:rFonts w:ascii="宋体" w:hAnsi="宋体" w:cs="Arial"/>
          <w:color w:val="auto"/>
          <w:szCs w:val="21"/>
          <w:highlight w:val="none"/>
        </w:rPr>
      </w:pPr>
      <w:r>
        <w:rPr>
          <w:rFonts w:ascii="宋体" w:hAnsi="宋体" w:cs="Arial"/>
          <w:color w:val="auto"/>
          <w:szCs w:val="21"/>
          <w:highlight w:val="none"/>
        </w:rPr>
      </w:r>
      <w:r/>
    </w:p>
    <w:p>
      <w:pPr>
        <w:pStyle w:val="891"/>
        <w:ind w:firstLine="0"/>
        <w:spacing w:line="360" w:lineRule="auto"/>
        <w:rPr>
          <w:rFonts w:ascii="宋体" w:hAnsi="宋体" w:cs="Arial"/>
          <w:color w:val="auto"/>
          <w:szCs w:val="21"/>
          <w:highlight w:val="none"/>
        </w:rPr>
      </w:pPr>
      <w:r>
        <w:rPr>
          <w:rFonts w:ascii="宋体" w:hAnsi="宋体" w:cs="Arial"/>
          <w:color w:val="auto"/>
          <w:szCs w:val="21"/>
          <w:highlight w:val="none"/>
        </w:rPr>
      </w:r>
      <w:r/>
    </w:p>
    <w:p>
      <w:pPr>
        <w:pStyle w:val="891"/>
        <w:ind w:firstLine="0"/>
        <w:spacing w:line="360" w:lineRule="auto"/>
        <w:rPr>
          <w:rFonts w:ascii="宋体" w:hAnsi="宋体" w:cs="Arial"/>
          <w:color w:val="auto"/>
          <w:szCs w:val="21"/>
          <w:highlight w:val="none"/>
        </w:rPr>
      </w:pPr>
      <w:r>
        <w:rPr>
          <w:rFonts w:ascii="宋体" w:hAnsi="宋体" w:cs="Arial"/>
          <w:color w:val="auto"/>
          <w:szCs w:val="21"/>
          <w:highlight w:val="none"/>
        </w:rPr>
      </w:r>
      <w:r/>
    </w:p>
    <w:p>
      <w:pPr>
        <w:spacing w:line="360" w:lineRule="auto"/>
        <w:rPr>
          <w:rFonts w:ascii="宋体" w:hAnsi="宋体" w:cs="宋体"/>
          <w:color w:val="auto"/>
          <w:sz w:val="24"/>
          <w:highlight w:val="none"/>
          <w:lang w:val="zh-CN"/>
        </w:rPr>
      </w:pPr>
      <w:r/>
      <w:bookmarkStart w:id="73" w:name="_Toc14428"/>
      <w:r/>
      <w:r/>
    </w:p>
    <w:p>
      <w:pPr>
        <w:pStyle w:val="876"/>
        <w:jc w:val="left"/>
        <w:spacing w:before="0" w:after="0"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六</w:t>
      </w:r>
      <w:r>
        <w:rPr>
          <w:rFonts w:hint="eastAsia" w:ascii="宋体" w:hAnsi="宋体" w:eastAsia="宋体" w:cs="宋体"/>
          <w:color w:val="auto"/>
          <w:sz w:val="24"/>
          <w:szCs w:val="24"/>
          <w:highlight w:val="none"/>
          <w:lang w:val="zh-CN"/>
        </w:rPr>
        <w:t xml:space="preserve"> 、技术条款偏离表格式</w:t>
      </w:r>
      <w:bookmarkEnd w:id="73"/>
      <w:r/>
      <w:r/>
    </w:p>
    <w:p>
      <w:pPr>
        <w:jc w:val="center"/>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技术条款偏离表</w:t>
      </w:r>
      <w:r/>
    </w:p>
    <w:tbl>
      <w:tblPr>
        <w:tblStyle w:val="885"/>
        <w:tblW w:w="9516" w:type="dxa"/>
        <w:jc w:val="center"/>
        <w:tblLayout w:type="fixed"/>
        <w:tblCellMar>
          <w:left w:w="0" w:type="dxa"/>
          <w:top w:w="0" w:type="dxa"/>
          <w:right w:w="0" w:type="dxa"/>
          <w:bottom w:w="0" w:type="dxa"/>
        </w:tblCellMar>
        <w:tblLook w:val="04A0" w:firstRow="1" w:lastRow="0" w:firstColumn="1" w:lastColumn="0" w:noHBand="0" w:noVBand="1"/>
      </w:tblPr>
      <w:tblGrid>
        <w:gridCol w:w="734"/>
        <w:gridCol w:w="1709"/>
        <w:gridCol w:w="2207"/>
        <w:gridCol w:w="1518"/>
        <w:gridCol w:w="1924"/>
        <w:gridCol w:w="1424"/>
      </w:tblGrid>
      <w:tr>
        <w:trPr>
          <w:jc w:val="center"/>
          <w:trHeight w:val="290"/>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6168" w:type="dxa"/>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348" w:type="dxa"/>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项目编号：  </w:t>
            </w:r>
            <w:r/>
          </w:p>
        </w:tc>
      </w:tr>
      <w:tr>
        <w:trPr>
          <w:jc w:val="center"/>
          <w:trHeight w:val="290"/>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34"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09"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07"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招标要求规格</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42"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24"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偏离</w:t>
            </w:r>
            <w:r/>
          </w:p>
        </w:tc>
      </w:tr>
      <w:tr>
        <w:trPr>
          <w:jc w:val="center"/>
          <w:trHeight w:val="290"/>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34"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09"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07"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4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24"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r>
      <w:tr>
        <w:trPr>
          <w:jc w:val="center"/>
          <w:trHeight w:val="290"/>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34"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09"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07"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4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24"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r>
      <w:tr>
        <w:trPr>
          <w:jc w:val="center"/>
          <w:trHeight w:val="290"/>
        </w:trPr>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734"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1709"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2207"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gridSpan w:val="2"/>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344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1424"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r>
    </w:tbl>
    <w:p>
      <w:pPr>
        <w:jc w:val="left"/>
        <w:spacing w:line="360" w:lineRule="auto"/>
        <w:shd w:val="clear" w:color="auto" w:fill="ffffff"/>
        <w:rPr>
          <w:rFonts w:ascii="宋体" w:hAnsi="宋体"/>
          <w:color w:val="auto"/>
          <w:szCs w:val="21"/>
          <w:highlight w:val="none"/>
        </w:rPr>
      </w:pPr>
      <w:r>
        <w:rPr>
          <w:rFonts w:hint="eastAsia" w:ascii="宋体" w:hAnsi="宋体"/>
          <w:color w:val="auto"/>
          <w:szCs w:val="21"/>
          <w:highlight w:val="none"/>
        </w:rPr>
        <w:t xml:space="preserve">说明：说明：</w:t>
      </w:r>
      <w:r/>
    </w:p>
    <w:p>
      <w:pPr>
        <w:numPr>
          <w:ilvl w:val="0"/>
          <w:numId w:val="3"/>
        </w:numPr>
        <w:jc w:val="left"/>
        <w:spacing w:line="360" w:lineRule="auto"/>
        <w:shd w:val="clear" w:color="auto" w:fill="ffffff"/>
        <w:rPr>
          <w:rFonts w:ascii="宋体" w:hAnsi="宋体"/>
          <w:color w:val="auto"/>
          <w:szCs w:val="21"/>
          <w:highlight w:val="none"/>
        </w:rPr>
      </w:pPr>
      <w:r>
        <w:rPr>
          <w:rFonts w:ascii="宋体" w:hAnsi="宋体"/>
          <w:color w:val="auto"/>
          <w:szCs w:val="21"/>
          <w:highlight w:val="none"/>
        </w:rPr>
        <w:t xml:space="preserve">如果行数不够，请自行增加。</w:t>
      </w:r>
      <w:r/>
    </w:p>
    <w:p>
      <w:pPr>
        <w:pStyle w:val="936"/>
        <w:numPr>
          <w:ilvl w:val="0"/>
          <w:numId w:val="3"/>
        </w:numPr>
        <w:ind w:firstLine="0"/>
        <w:spacing w:line="360" w:lineRule="auto"/>
        <w:rPr>
          <w:rStyle w:val="997"/>
          <w:rFonts w:ascii="宋体" w:hAnsi="宋体"/>
          <w:bCs/>
          <w:color w:val="auto"/>
          <w:szCs w:val="21"/>
          <w:highlight w:val="none"/>
        </w:rPr>
      </w:pPr>
      <w:r>
        <w:rPr>
          <w:rStyle w:val="997"/>
          <w:rFonts w:hint="eastAsia" w:ascii="宋体" w:hAnsi="宋体"/>
          <w:bCs/>
          <w:color w:val="auto"/>
          <w:szCs w:val="21"/>
          <w:highlight w:val="none"/>
        </w:rPr>
        <w:t xml:space="preserve">其他供应商　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pStyle w:val="891"/>
        <w:ind w:firstLine="0"/>
        <w:spacing w:line="360" w:lineRule="auto"/>
        <w:rPr>
          <w:rFonts w:ascii="宋体" w:hAnsi="宋体" w:cs="Arial"/>
          <w:color w:val="auto"/>
          <w:szCs w:val="21"/>
          <w:highlight w:val="none"/>
        </w:rPr>
      </w:pPr>
      <w:r>
        <w:rPr>
          <w:rFonts w:ascii="宋体" w:hAnsi="宋体" w:cs="Arial"/>
          <w:color w:val="auto"/>
          <w:szCs w:val="21"/>
          <w:highlight w:val="none"/>
        </w:rPr>
      </w:r>
      <w:r/>
    </w:p>
    <w:p>
      <w:pPr>
        <w:pStyle w:val="891"/>
        <w:ind w:firstLine="0"/>
        <w:spacing w:line="360" w:lineRule="auto"/>
        <w:rPr>
          <w:rFonts w:ascii="宋体" w:hAnsi="宋体" w:cs="Arial"/>
          <w:color w:val="auto"/>
          <w:szCs w:val="21"/>
          <w:highlight w:val="none"/>
        </w:rPr>
      </w:pPr>
      <w:r>
        <w:rPr>
          <w:rFonts w:hint="eastAsia" w:ascii="宋体" w:hAnsi="宋体" w:cs="微软雅黑"/>
          <w:color w:val="auto"/>
          <w:szCs w:val="21"/>
          <w:highlight w:val="none"/>
        </w:rPr>
        <w:t xml:space="preserve">供应商名称</w:t>
      </w:r>
      <w:r>
        <w:rPr>
          <w:rFonts w:hint="eastAsia" w:ascii="宋体" w:hAnsi="宋体" w:cs="Arial"/>
          <w:color w:val="auto"/>
          <w:szCs w:val="21"/>
          <w:highlight w:val="none"/>
        </w:rPr>
        <w:t xml:space="preserve">（盖章）:                       </w:t>
      </w:r>
      <w:r/>
    </w:p>
    <w:p>
      <w:pPr>
        <w:pStyle w:val="891"/>
        <w:ind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日            期：        年    月    日</w:t>
      </w:r>
      <w:r/>
    </w:p>
    <w:p>
      <w:pPr>
        <w:pStyle w:val="891"/>
        <w:ind w:firstLine="0"/>
        <w:spacing w:line="360" w:lineRule="auto"/>
        <w:rPr>
          <w:rFonts w:ascii="宋体" w:hAnsi="宋体" w:cs="Arial"/>
          <w:color w:val="auto"/>
          <w:szCs w:val="21"/>
          <w:highlight w:val="none"/>
        </w:rPr>
      </w:pPr>
      <w:r>
        <w:rPr>
          <w:rFonts w:hint="eastAsia" w:ascii="宋体" w:hAnsi="宋体" w:cs="Arial"/>
          <w:color w:val="auto"/>
          <w:szCs w:val="21"/>
          <w:highlight w:val="none"/>
        </w:rPr>
        <w:t xml:space="preserve"> </w:t>
      </w:r>
      <w:r/>
    </w:p>
    <w:p>
      <w:pPr>
        <w:pStyle w:val="891"/>
        <w:ind w:firstLine="0"/>
        <w:spacing w:line="360" w:lineRule="auto"/>
        <w:rPr>
          <w:rFonts w:ascii="宋体" w:hAnsi="宋体" w:cs="Arial"/>
          <w:color w:val="auto"/>
          <w:szCs w:val="21"/>
          <w:highlight w:val="none"/>
        </w:rPr>
      </w:pPr>
      <w:r>
        <w:rPr>
          <w:rFonts w:ascii="宋体" w:hAnsi="宋体" w:cs="Arial"/>
          <w:color w:val="auto"/>
          <w:szCs w:val="21"/>
          <w:highlight w:val="none"/>
        </w:rPr>
      </w:r>
      <w:r/>
    </w:p>
    <w:p>
      <w:pPr>
        <w:pStyle w:val="891"/>
        <w:ind w:firstLine="0"/>
        <w:spacing w:line="360" w:lineRule="auto"/>
        <w:rPr>
          <w:rFonts w:ascii="宋体" w:hAnsi="宋体" w:cs="Arial"/>
          <w:color w:val="auto"/>
          <w:szCs w:val="21"/>
          <w:highlight w:val="none"/>
        </w:rPr>
      </w:pPr>
      <w:r>
        <w:rPr>
          <w:rFonts w:ascii="宋体" w:hAnsi="宋体" w:cs="Arial"/>
          <w:color w:val="auto"/>
          <w:szCs w:val="21"/>
          <w:highlight w:val="none"/>
        </w:rPr>
      </w:r>
      <w:r/>
    </w:p>
    <w:p>
      <w:pPr>
        <w:pStyle w:val="891"/>
        <w:ind w:firstLine="0"/>
        <w:spacing w:line="360" w:lineRule="auto"/>
        <w:rPr>
          <w:rFonts w:ascii="宋体" w:hAnsi="宋体" w:cs="Arial"/>
          <w:color w:val="auto"/>
          <w:szCs w:val="21"/>
          <w:highlight w:val="none"/>
        </w:rPr>
      </w:pPr>
      <w:r>
        <w:rPr>
          <w:rFonts w:ascii="宋体" w:hAnsi="宋体" w:cs="Arial"/>
          <w:color w:val="auto"/>
          <w:szCs w:val="21"/>
          <w:highlight w:val="none"/>
        </w:rPr>
      </w:r>
      <w:r/>
    </w:p>
    <w:p>
      <w:pPr>
        <w:pStyle w:val="891"/>
        <w:ind w:firstLine="0"/>
        <w:spacing w:line="360" w:lineRule="auto"/>
        <w:rPr>
          <w:rFonts w:ascii="宋体" w:hAnsi="宋体" w:cs="Arial"/>
          <w:color w:val="auto"/>
          <w:szCs w:val="21"/>
          <w:highlight w:val="none"/>
        </w:rPr>
      </w:pPr>
      <w:r>
        <w:rPr>
          <w:rFonts w:ascii="宋体" w:hAnsi="宋体" w:cs="Arial"/>
          <w:color w:val="auto"/>
          <w:szCs w:val="21"/>
          <w:highlight w:val="none"/>
        </w:rPr>
      </w:r>
      <w:r/>
    </w:p>
    <w:p>
      <w:pPr>
        <w:pStyle w:val="891"/>
        <w:ind w:firstLine="0"/>
        <w:spacing w:line="360" w:lineRule="auto"/>
        <w:rPr>
          <w:rFonts w:ascii="宋体" w:hAnsi="宋体" w:cs="Arial"/>
          <w:color w:val="auto"/>
          <w:szCs w:val="21"/>
          <w:highlight w:val="none"/>
        </w:rPr>
      </w:pPr>
      <w:r>
        <w:rPr>
          <w:rFonts w:ascii="宋体" w:hAnsi="宋体" w:cs="Arial"/>
          <w:color w:val="auto"/>
          <w:szCs w:val="21"/>
          <w:highlight w:val="none"/>
        </w:rPr>
      </w:r>
      <w:r/>
    </w:p>
    <w:p>
      <w:pPr>
        <w:pStyle w:val="891"/>
        <w:ind w:firstLine="0"/>
        <w:spacing w:line="360" w:lineRule="auto"/>
        <w:rPr>
          <w:rFonts w:ascii="宋体" w:hAnsi="宋体" w:cs="Arial"/>
          <w:color w:val="auto"/>
          <w:szCs w:val="21"/>
          <w:highlight w:val="none"/>
        </w:rPr>
      </w:pPr>
      <w:r>
        <w:rPr>
          <w:rFonts w:ascii="宋体" w:hAnsi="宋体" w:cs="Arial"/>
          <w:color w:val="auto"/>
          <w:szCs w:val="21"/>
          <w:highlight w:val="none"/>
        </w:rPr>
      </w:r>
      <w:r/>
    </w:p>
    <w:p>
      <w:pPr>
        <w:pStyle w:val="891"/>
        <w:ind w:firstLine="0"/>
        <w:spacing w:line="360" w:lineRule="auto"/>
        <w:rPr>
          <w:rFonts w:ascii="宋体" w:hAnsi="宋体" w:cs="Arial"/>
          <w:color w:val="auto"/>
          <w:szCs w:val="21"/>
          <w:highlight w:val="none"/>
        </w:rPr>
      </w:pPr>
      <w:r>
        <w:rPr>
          <w:rFonts w:ascii="宋体" w:hAnsi="宋体" w:cs="Arial"/>
          <w:color w:val="auto"/>
          <w:szCs w:val="21"/>
          <w:highlight w:val="none"/>
        </w:rPr>
      </w:r>
      <w:r/>
    </w:p>
    <w:p>
      <w:pPr>
        <w:pStyle w:val="891"/>
        <w:ind w:firstLine="0"/>
        <w:spacing w:line="360" w:lineRule="auto"/>
        <w:rPr>
          <w:rFonts w:ascii="宋体" w:hAnsi="宋体" w:cs="Arial"/>
          <w:color w:val="auto"/>
          <w:szCs w:val="21"/>
          <w:highlight w:val="none"/>
        </w:rPr>
      </w:pPr>
      <w:r>
        <w:rPr>
          <w:rFonts w:ascii="宋体" w:hAnsi="宋体" w:cs="Arial"/>
          <w:color w:val="auto"/>
          <w:szCs w:val="21"/>
          <w:highlight w:val="none"/>
        </w:rPr>
      </w:r>
      <w:r/>
    </w:p>
    <w:p>
      <w:pPr>
        <w:pStyle w:val="891"/>
        <w:ind w:firstLine="0"/>
        <w:spacing w:line="360" w:lineRule="auto"/>
        <w:rPr>
          <w:rFonts w:ascii="宋体" w:hAnsi="宋体" w:cs="Arial"/>
          <w:color w:val="auto"/>
          <w:szCs w:val="21"/>
          <w:highlight w:val="none"/>
        </w:rPr>
      </w:pPr>
      <w:r>
        <w:rPr>
          <w:rFonts w:ascii="宋体" w:hAnsi="宋体" w:cs="Arial"/>
          <w:color w:val="auto"/>
          <w:szCs w:val="21"/>
          <w:highlight w:val="none"/>
        </w:rPr>
      </w:r>
      <w:r/>
    </w:p>
    <w:p>
      <w:pPr>
        <w:jc w:val="left"/>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jc w:val="left"/>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jc w:val="left"/>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pStyle w:val="926"/>
        <w:spacing w:line="360" w:lineRule="auto"/>
        <w:rPr>
          <w:color w:val="auto"/>
          <w:highlight w:val="none"/>
        </w:rPr>
      </w:pPr>
      <w:r>
        <w:rPr>
          <w:color w:val="auto"/>
          <w:highlight w:val="none"/>
        </w:rPr>
      </w:r>
      <w:r/>
    </w:p>
    <w:p>
      <w:pPr>
        <w:pStyle w:val="926"/>
        <w:spacing w:line="360" w:lineRule="auto"/>
        <w:rPr>
          <w:color w:val="auto"/>
          <w:highlight w:val="none"/>
        </w:rPr>
      </w:pPr>
      <w:r>
        <w:rPr>
          <w:color w:val="auto"/>
          <w:highlight w:val="none"/>
        </w:rPr>
      </w:r>
      <w:r/>
    </w:p>
    <w:p>
      <w:pPr>
        <w:pStyle w:val="876"/>
        <w:jc w:val="left"/>
        <w:spacing w:before="0" w:after="0" w:line="360" w:lineRule="auto"/>
        <w:rPr>
          <w:rFonts w:ascii="宋体" w:hAnsi="宋体" w:eastAsia="宋体" w:cs="宋体"/>
          <w:color w:val="auto"/>
          <w:sz w:val="24"/>
          <w:szCs w:val="24"/>
          <w:highlight w:val="none"/>
          <w:lang w:val="zh-CN"/>
        </w:rPr>
      </w:pPr>
      <w:r/>
      <w:bookmarkStart w:id="74" w:name="_Toc27346"/>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七</w:t>
      </w:r>
      <w:r>
        <w:rPr>
          <w:rFonts w:hint="eastAsia" w:ascii="宋体" w:hAnsi="宋体" w:eastAsia="宋体" w:cs="宋体"/>
          <w:color w:val="auto"/>
          <w:sz w:val="24"/>
          <w:szCs w:val="24"/>
          <w:highlight w:val="none"/>
          <w:lang w:val="zh-CN"/>
        </w:rPr>
        <w:t xml:space="preserve">、商务条款偏离表格式</w:t>
      </w:r>
      <w:bookmarkEnd w:id="74"/>
      <w:r/>
      <w:r/>
    </w:p>
    <w:p>
      <w:pPr>
        <w:jc w:val="center"/>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商务条款偏离表</w:t>
      </w:r>
      <w:r/>
    </w:p>
    <w:tbl>
      <w:tblPr>
        <w:tblStyle w:val="885"/>
        <w:tblW w:w="9198" w:type="dxa"/>
        <w:jc w:val="center"/>
        <w:tblLayout w:type="fixed"/>
        <w:tblCellMar>
          <w:left w:w="0" w:type="dxa"/>
          <w:top w:w="0" w:type="dxa"/>
          <w:right w:w="0" w:type="dxa"/>
          <w:bottom w:w="0" w:type="dxa"/>
        </w:tblCellMar>
        <w:tblLook w:val="04A0" w:firstRow="1" w:lastRow="0" w:firstColumn="1" w:lastColumn="0" w:noHBand="0" w:noVBand="1"/>
      </w:tblPr>
      <w:tblGrid>
        <w:gridCol w:w="619"/>
        <w:gridCol w:w="1458"/>
        <w:gridCol w:w="2476"/>
        <w:gridCol w:w="1375"/>
        <w:gridCol w:w="1943"/>
        <w:gridCol w:w="1327"/>
      </w:tblGrid>
      <w:tr>
        <w:trPr>
          <w:jc w:val="center"/>
          <w:trHeight w:val="246"/>
          <w:tblHeader/>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928" w:type="dxa"/>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 w:val="24"/>
                <w:highlight w:val="none"/>
              </w:rPr>
              <w:t xml:space="preserve"> </w:t>
            </w:r>
            <w:r>
              <w:rPr>
                <w:rFonts w:hint="eastAsia" w:ascii="宋体" w:hAnsi="宋体"/>
                <w:color w:val="auto"/>
                <w:szCs w:val="21"/>
                <w:highlight w:val="none"/>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270" w:type="dxa"/>
            <w:vAlign w:val="center"/>
            <w:textDirection w:val="lrTb"/>
            <w:noWrap w:val="false"/>
          </w:tcPr>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项目编号：         </w:t>
            </w:r>
            <w:r/>
          </w:p>
        </w:tc>
      </w:tr>
      <w:tr>
        <w:trPr>
          <w:jc w:val="center"/>
          <w:trHeight w:val="246"/>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19"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58"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476"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招标文件要求的商务条款</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18"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27"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偏离</w:t>
            </w:r>
            <w:r/>
          </w:p>
        </w:tc>
      </w:tr>
      <w:tr>
        <w:trPr>
          <w:jc w:val="center"/>
          <w:trHeight w:val="246"/>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19"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58"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476"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18"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27"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 </w:t>
            </w:r>
            <w:r/>
          </w:p>
        </w:tc>
      </w:tr>
      <w:tr>
        <w:trPr>
          <w:jc w:val="center"/>
          <w:trHeight w:val="246"/>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19"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58"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476"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18"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27"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 </w:t>
            </w:r>
            <w:r/>
          </w:p>
        </w:tc>
      </w:tr>
      <w:tr>
        <w:trPr>
          <w:jc w:val="center"/>
          <w:trHeight w:val="246"/>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19"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58"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476"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18"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27"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 </w:t>
            </w:r>
            <w:r/>
          </w:p>
        </w:tc>
      </w:tr>
      <w:tr>
        <w:trPr>
          <w:jc w:val="center"/>
          <w:trHeight w:val="406"/>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19"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58"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476"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18"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27"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 </w:t>
            </w:r>
            <w:r/>
          </w:p>
        </w:tc>
      </w:tr>
      <w:tr>
        <w:trPr>
          <w:jc w:val="center"/>
          <w:trHeight w:val="388"/>
        </w:trPr>
        <w:tc>
          <w:tcPr>
            <w:tcBorders>
              <w:top w:val="none" w:color="000000" w:sz="4" w:space="0"/>
              <w:left w:val="none" w:color="000000" w:sz="4" w:space="0"/>
              <w:bottom w:val="none" w:color="000000" w:sz="4" w:space="0"/>
              <w:right w:val="none" w:color="000000" w:sz="4" w:space="0"/>
            </w:tcBorders>
            <w:tcW w:w="619" w:type="dxa"/>
            <w:vAlign w:val="center"/>
            <w:textDirection w:val="lrTb"/>
            <w:noWrap w:val="false"/>
          </w:tcPr>
          <w:p>
            <w:pPr>
              <w:jc w:val="left"/>
              <w:spacing w:line="360" w:lineRule="auto"/>
              <w:widowControl/>
              <w:rPr>
                <w:rFonts w:ascii="宋体" w:hAnsi="宋体" w:cs="宋体"/>
                <w:color w:val="auto"/>
                <w:sz w:val="1"/>
                <w:highlight w:val="none"/>
              </w:rPr>
            </w:pPr>
            <w:r>
              <w:rPr>
                <w:rFonts w:ascii="宋体" w:hAnsi="宋体" w:cs="宋体"/>
                <w:color w:val="auto"/>
                <w:sz w:val="1"/>
                <w:highlight w:val="none"/>
              </w:rPr>
            </w:r>
            <w:r/>
          </w:p>
        </w:tc>
        <w:tc>
          <w:tcPr>
            <w:tcBorders>
              <w:top w:val="none" w:color="000000" w:sz="4" w:space="0"/>
              <w:left w:val="none" w:color="000000" w:sz="4" w:space="0"/>
              <w:bottom w:val="none" w:color="000000" w:sz="4" w:space="0"/>
              <w:right w:val="none" w:color="000000" w:sz="4" w:space="0"/>
            </w:tcBorders>
            <w:tcW w:w="1458" w:type="dxa"/>
            <w:vAlign w:val="center"/>
            <w:textDirection w:val="lrTb"/>
            <w:noWrap w:val="false"/>
          </w:tcPr>
          <w:p>
            <w:pPr>
              <w:jc w:val="left"/>
              <w:spacing w:line="360" w:lineRule="auto"/>
              <w:widowControl/>
              <w:rPr>
                <w:rFonts w:ascii="宋体" w:hAnsi="宋体" w:cs="宋体"/>
                <w:color w:val="auto"/>
                <w:sz w:val="1"/>
                <w:highlight w:val="none"/>
              </w:rPr>
            </w:pPr>
            <w:r>
              <w:rPr>
                <w:rFonts w:ascii="宋体" w:hAnsi="宋体" w:cs="宋体"/>
                <w:color w:val="auto"/>
                <w:sz w:val="1"/>
                <w:highlight w:val="none"/>
              </w:rPr>
            </w:r>
            <w:r/>
          </w:p>
        </w:tc>
        <w:tc>
          <w:tcPr>
            <w:tcBorders>
              <w:top w:val="none" w:color="000000" w:sz="4" w:space="0"/>
              <w:left w:val="none" w:color="000000" w:sz="4" w:space="0"/>
              <w:bottom w:val="none" w:color="000000" w:sz="4" w:space="0"/>
              <w:right w:val="none" w:color="000000" w:sz="4" w:space="0"/>
            </w:tcBorders>
            <w:tcW w:w="2476" w:type="dxa"/>
            <w:vAlign w:val="center"/>
            <w:textDirection w:val="lrTb"/>
            <w:noWrap w:val="false"/>
          </w:tcPr>
          <w:p>
            <w:pPr>
              <w:jc w:val="left"/>
              <w:spacing w:line="360" w:lineRule="auto"/>
              <w:widowControl/>
              <w:rPr>
                <w:rFonts w:ascii="宋体" w:hAnsi="宋体" w:cs="宋体"/>
                <w:color w:val="auto"/>
                <w:sz w:val="1"/>
                <w:highlight w:val="none"/>
              </w:rPr>
            </w:pPr>
            <w:r>
              <w:rPr>
                <w:rFonts w:ascii="宋体" w:hAnsi="宋体" w:cs="宋体"/>
                <w:color w:val="auto"/>
                <w:sz w:val="1"/>
                <w:highlight w:val="none"/>
              </w:rPr>
            </w:r>
            <w:r/>
          </w:p>
        </w:tc>
        <w:tc>
          <w:tcPr>
            <w:tcBorders>
              <w:top w:val="none" w:color="000000" w:sz="4" w:space="0"/>
              <w:left w:val="none" w:color="000000" w:sz="4" w:space="0"/>
              <w:bottom w:val="none" w:color="000000" w:sz="4" w:space="0"/>
              <w:right w:val="none" w:color="000000" w:sz="4" w:space="0"/>
            </w:tcBorders>
            <w:tcW w:w="1375" w:type="dxa"/>
            <w:vAlign w:val="center"/>
            <w:textDirection w:val="lrTb"/>
            <w:noWrap w:val="false"/>
          </w:tcPr>
          <w:p>
            <w:pPr>
              <w:jc w:val="left"/>
              <w:spacing w:line="360" w:lineRule="auto"/>
              <w:widowControl/>
              <w:rPr>
                <w:rFonts w:ascii="宋体" w:hAnsi="宋体" w:cs="宋体"/>
                <w:color w:val="auto"/>
                <w:sz w:val="1"/>
                <w:highlight w:val="none"/>
              </w:rPr>
            </w:pPr>
            <w:r>
              <w:rPr>
                <w:rFonts w:ascii="宋体" w:hAnsi="宋体" w:cs="宋体"/>
                <w:color w:val="auto"/>
                <w:sz w:val="1"/>
                <w:highlight w:val="none"/>
              </w:rPr>
            </w:r>
            <w:r/>
          </w:p>
        </w:tc>
        <w:tc>
          <w:tcPr>
            <w:tcBorders>
              <w:top w:val="none" w:color="000000" w:sz="4" w:space="0"/>
              <w:left w:val="none" w:color="000000" w:sz="4" w:space="0"/>
              <w:bottom w:val="none" w:color="000000" w:sz="4" w:space="0"/>
              <w:right w:val="none" w:color="000000" w:sz="4" w:space="0"/>
            </w:tcBorders>
            <w:tcW w:w="1943" w:type="dxa"/>
            <w:vAlign w:val="center"/>
            <w:textDirection w:val="lrTb"/>
            <w:noWrap w:val="false"/>
          </w:tcPr>
          <w:p>
            <w:pPr>
              <w:jc w:val="left"/>
              <w:spacing w:line="360" w:lineRule="auto"/>
              <w:widowControl/>
              <w:rPr>
                <w:rFonts w:ascii="宋体" w:hAnsi="宋体" w:cs="宋体"/>
                <w:color w:val="auto"/>
                <w:sz w:val="1"/>
                <w:highlight w:val="none"/>
              </w:rPr>
            </w:pPr>
            <w:r>
              <w:rPr>
                <w:rFonts w:ascii="宋体" w:hAnsi="宋体" w:cs="宋体"/>
                <w:color w:val="auto"/>
                <w:sz w:val="1"/>
                <w:highlight w:val="none"/>
              </w:rPr>
            </w:r>
            <w:r/>
          </w:p>
        </w:tc>
        <w:tc>
          <w:tcPr>
            <w:tcBorders>
              <w:top w:val="none" w:color="000000" w:sz="4" w:space="0"/>
              <w:left w:val="none" w:color="000000" w:sz="4" w:space="0"/>
              <w:bottom w:val="none" w:color="000000" w:sz="4" w:space="0"/>
              <w:right w:val="none" w:color="000000" w:sz="4" w:space="0"/>
            </w:tcBorders>
            <w:tcW w:w="1327" w:type="dxa"/>
            <w:vAlign w:val="center"/>
            <w:textDirection w:val="lrTb"/>
            <w:noWrap w:val="false"/>
          </w:tcPr>
          <w:p>
            <w:pPr>
              <w:jc w:val="left"/>
              <w:spacing w:line="360" w:lineRule="auto"/>
              <w:widowControl/>
              <w:rPr>
                <w:rFonts w:ascii="宋体" w:hAnsi="宋体" w:cs="宋体"/>
                <w:color w:val="auto"/>
                <w:sz w:val="1"/>
                <w:highlight w:val="none"/>
              </w:rPr>
            </w:pPr>
            <w:r>
              <w:rPr>
                <w:rFonts w:ascii="宋体" w:hAnsi="宋体" w:cs="宋体"/>
                <w:color w:val="auto"/>
                <w:sz w:val="1"/>
                <w:highlight w:val="none"/>
              </w:rPr>
            </w:r>
            <w:r/>
          </w:p>
        </w:tc>
      </w:tr>
    </w:tbl>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1、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2、说明：如果行数不够，请自行增加。</w:t>
      </w:r>
      <w:r/>
    </w:p>
    <w:p>
      <w:pPr>
        <w:pStyle w:val="898"/>
        <w:ind w:left="1470" w:right="1470"/>
        <w:spacing w:line="360" w:lineRule="auto"/>
        <w:rPr>
          <w:color w:val="auto"/>
          <w:highlight w:val="none"/>
        </w:rPr>
      </w:pPr>
      <w:r>
        <w:rPr>
          <w:color w:val="auto"/>
          <w:highlight w:val="none"/>
        </w:rPr>
      </w:r>
      <w:r/>
    </w:p>
    <w:p>
      <w:pPr>
        <w:jc w:val="left"/>
        <w:spacing w:line="360" w:lineRule="auto"/>
        <w:widowControl/>
        <w:rPr>
          <w:rFonts w:ascii="宋体" w:hAnsi="宋体"/>
          <w:color w:val="auto"/>
          <w:szCs w:val="21"/>
          <w:highlight w:val="none"/>
        </w:rPr>
      </w:pPr>
      <w:r>
        <w:rPr>
          <w:rFonts w:hint="eastAsia" w:ascii="宋体" w:hAnsi="宋体" w:cs="微软雅黑"/>
          <w:color w:val="auto"/>
          <w:szCs w:val="21"/>
          <w:highlight w:val="none"/>
        </w:rPr>
        <w:t xml:space="preserve">供应商名称</w:t>
      </w:r>
      <w:r>
        <w:rPr>
          <w:rFonts w:hint="eastAsia" w:ascii="宋体" w:hAnsi="宋体"/>
          <w:color w:val="auto"/>
          <w:szCs w:val="21"/>
          <w:highlight w:val="none"/>
        </w:rPr>
        <w:t xml:space="preserve">　（盖章）:                       </w:t>
      </w:r>
      <w:r/>
    </w:p>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日            期：        年    月    日</w:t>
      </w:r>
      <w:r/>
    </w:p>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 </w:t>
      </w:r>
      <w:r/>
    </w:p>
    <w:p>
      <w:pPr>
        <w:jc w:val="center"/>
        <w:spacing w:line="360" w:lineRule="auto"/>
        <w:widowControl/>
        <w:rPr>
          <w:rFonts w:ascii="宋体" w:hAnsi="宋体"/>
          <w:color w:val="auto"/>
          <w:szCs w:val="21"/>
          <w:highlight w:val="none"/>
        </w:rPr>
      </w:pPr>
      <w:r>
        <w:rPr>
          <w:rFonts w:ascii="宋体" w:hAnsi="宋体"/>
          <w:color w:val="auto"/>
          <w:szCs w:val="21"/>
          <w:highlight w:val="none"/>
        </w:rPr>
      </w:r>
      <w:r/>
    </w:p>
    <w:p>
      <w:pPr>
        <w:pStyle w:val="926"/>
        <w:spacing w:line="360" w:lineRule="auto"/>
        <w:rPr>
          <w:color w:val="auto"/>
          <w:highlight w:val="none"/>
        </w:rPr>
      </w:pPr>
      <w:r>
        <w:rPr>
          <w:color w:val="auto"/>
          <w:highlight w:val="none"/>
        </w:rPr>
      </w:r>
      <w:r/>
    </w:p>
    <w:p>
      <w:pPr>
        <w:pStyle w:val="926"/>
        <w:spacing w:line="360" w:lineRule="auto"/>
        <w:rPr>
          <w:color w:val="auto"/>
          <w:highlight w:val="none"/>
        </w:rPr>
      </w:pPr>
      <w:r>
        <w:rPr>
          <w:color w:val="auto"/>
          <w:highlight w:val="none"/>
        </w:rPr>
      </w:r>
      <w:r/>
    </w:p>
    <w:p>
      <w:pPr>
        <w:pStyle w:val="926"/>
        <w:spacing w:line="360" w:lineRule="auto"/>
        <w:rPr>
          <w:color w:val="auto"/>
          <w:highlight w:val="none"/>
        </w:rPr>
      </w:pPr>
      <w:r>
        <w:rPr>
          <w:color w:val="auto"/>
          <w:highlight w:val="none"/>
        </w:rPr>
      </w:r>
      <w:r/>
    </w:p>
    <w:p>
      <w:pPr>
        <w:pStyle w:val="926"/>
        <w:spacing w:line="360" w:lineRule="auto"/>
        <w:rPr>
          <w:color w:val="auto"/>
          <w:highlight w:val="none"/>
        </w:rPr>
      </w:pPr>
      <w:r>
        <w:rPr>
          <w:color w:val="auto"/>
          <w:highlight w:val="none"/>
        </w:rPr>
      </w:r>
      <w:r/>
    </w:p>
    <w:p>
      <w:pPr>
        <w:pStyle w:val="926"/>
        <w:spacing w:line="360" w:lineRule="auto"/>
        <w:rPr>
          <w:color w:val="auto"/>
          <w:highlight w:val="none"/>
        </w:rPr>
      </w:pPr>
      <w:r>
        <w:rPr>
          <w:color w:val="auto"/>
          <w:highlight w:val="none"/>
        </w:rPr>
      </w:r>
      <w:r/>
    </w:p>
    <w:p>
      <w:pPr>
        <w:pStyle w:val="926"/>
        <w:spacing w:line="360" w:lineRule="auto"/>
        <w:rPr>
          <w:color w:val="auto"/>
          <w:highlight w:val="none"/>
        </w:rPr>
      </w:pPr>
      <w:r>
        <w:rPr>
          <w:color w:val="auto"/>
          <w:highlight w:val="none"/>
        </w:rPr>
      </w:r>
      <w:r/>
    </w:p>
    <w:p>
      <w:pPr>
        <w:pStyle w:val="926"/>
        <w:spacing w:line="360" w:lineRule="auto"/>
        <w:rPr>
          <w:color w:val="auto"/>
          <w:highlight w:val="none"/>
        </w:rPr>
      </w:pPr>
      <w:r>
        <w:rPr>
          <w:color w:val="auto"/>
          <w:highlight w:val="none"/>
        </w:rPr>
      </w:r>
      <w:r/>
    </w:p>
    <w:p>
      <w:pPr>
        <w:pStyle w:val="876"/>
        <w:jc w:val="left"/>
        <w:spacing w:before="0" w:after="0" w:line="360" w:lineRule="auto"/>
        <w:rPr>
          <w:rFonts w:ascii="宋体" w:hAnsi="宋体" w:eastAsia="宋体" w:cs="宋体"/>
          <w:color w:val="auto"/>
          <w:sz w:val="24"/>
          <w:szCs w:val="24"/>
          <w:highlight w:val="none"/>
          <w:lang w:val="zh-CN"/>
        </w:rPr>
      </w:pPr>
      <w:r/>
      <w:bookmarkStart w:id="75" w:name="_Toc22320"/>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八</w:t>
      </w:r>
      <w:r>
        <w:rPr>
          <w:rFonts w:hint="eastAsia" w:ascii="宋体" w:hAnsi="宋体" w:eastAsia="宋体" w:cs="宋体"/>
          <w:color w:val="auto"/>
          <w:sz w:val="24"/>
          <w:szCs w:val="24"/>
          <w:highlight w:val="none"/>
          <w:lang w:val="zh-CN"/>
        </w:rPr>
        <w:t xml:space="preserve">、 投标供应商类似业绩情况表</w:t>
      </w:r>
      <w:bookmarkEnd w:id="75"/>
      <w:r/>
      <w:r/>
    </w:p>
    <w:p>
      <w:pPr>
        <w:jc w:val="center"/>
        <w:spacing w:line="360" w:lineRule="auto"/>
        <w:widowControl/>
        <w:rPr>
          <w:rFonts w:ascii="宋体" w:hAnsi="宋体"/>
          <w:b/>
          <w:bCs/>
          <w:color w:val="auto"/>
          <w:sz w:val="24"/>
          <w:highlight w:val="none"/>
        </w:rPr>
      </w:pPr>
      <w:r>
        <w:rPr>
          <w:rFonts w:hint="eastAsia" w:ascii="宋体" w:hAnsi="宋体"/>
          <w:b/>
          <w:bCs/>
          <w:color w:val="auto"/>
          <w:sz w:val="24"/>
          <w:highlight w:val="none"/>
        </w:rPr>
        <w:t xml:space="preserve"> </w:t>
      </w:r>
      <w:r/>
    </w:p>
    <w:p>
      <w:pPr>
        <w:jc w:val="center"/>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投标供应商类似业绩情况表</w:t>
      </w:r>
      <w:r/>
    </w:p>
    <w:p>
      <w:pPr>
        <w:pStyle w:val="1157"/>
        <w:ind w:firstLine="211"/>
        <w:jc w:val="left"/>
        <w:spacing w:before="100" w:beforeAutospacing="1" w:after="100" w:afterAutospacing="1" w:line="360" w:lineRule="auto"/>
        <w:rPr>
          <w:rFonts w:hint="default" w:hAnsi="宋体"/>
          <w:color w:val="auto"/>
          <w:sz w:val="36"/>
          <w:szCs w:val="36"/>
          <w:highlight w:val="none"/>
        </w:rPr>
      </w:pPr>
      <w:r>
        <w:rPr>
          <w:rFonts w:hAnsi="宋体" w:eastAsia="宋体" w:cs="Arial"/>
          <w:b/>
          <w:bCs/>
          <w:color w:val="auto"/>
          <w:sz w:val="21"/>
          <w:szCs w:val="21"/>
          <w:highlight w:val="none"/>
          <w:lang w:val="zh-CN"/>
        </w:rPr>
        <w:t xml:space="preserve">项目</w:t>
      </w:r>
      <w:r>
        <w:rPr>
          <w:rFonts w:hAnsi="宋体" w:eastAsia="宋体" w:cs="Arial"/>
          <w:b/>
          <w:bCs/>
          <w:color w:val="auto"/>
          <w:sz w:val="21"/>
          <w:szCs w:val="21"/>
          <w:highlight w:val="none"/>
        </w:rPr>
        <w:t xml:space="preserve">名称</w:t>
      </w:r>
      <w:r>
        <w:rPr>
          <w:rFonts w:hAnsi="宋体" w:eastAsia="宋体" w:cs="Arial"/>
          <w:b/>
          <w:bCs/>
          <w:color w:val="auto"/>
          <w:sz w:val="21"/>
          <w:szCs w:val="21"/>
          <w:highlight w:val="none"/>
          <w:lang w:val="zh-CN"/>
        </w:rPr>
        <w:t xml:space="preserve">：                                    项目编号：</w:t>
      </w:r>
      <w:r/>
    </w:p>
    <w:tbl>
      <w:tblPr>
        <w:tblStyle w:val="885"/>
        <w:tblW w:w="9170" w:type="dxa"/>
        <w:jc w:val="center"/>
        <w:tblLayout w:type="fixed"/>
        <w:tblCellMar>
          <w:left w:w="108" w:type="dxa"/>
          <w:top w:w="0" w:type="dxa"/>
          <w:right w:w="108" w:type="dxa"/>
          <w:bottom w:w="0" w:type="dxa"/>
        </w:tblCellMar>
        <w:tblLook w:val="04A0" w:firstRow="1" w:lastRow="0" w:firstColumn="1" w:lastColumn="0" w:noHBand="0" w:noVBand="1"/>
      </w:tblPr>
      <w:tblGrid>
        <w:gridCol w:w="1157"/>
        <w:gridCol w:w="1611"/>
        <w:gridCol w:w="1465"/>
        <w:gridCol w:w="1025"/>
        <w:gridCol w:w="1568"/>
        <w:gridCol w:w="1172"/>
        <w:gridCol w:w="1172"/>
      </w:tblGrid>
      <w:tr>
        <w:trPr>
          <w:jc w:val="center"/>
          <w:trHeight w:val="760"/>
        </w:trPr>
        <w:tc>
          <w:tcPr>
            <w:tcBorders>
              <w:top w:val="single" w:color="000000" w:sz="4" w:space="0"/>
              <w:left w:val="single" w:color="000000" w:sz="4" w:space="0"/>
              <w:bottom w:val="single" w:color="000000" w:sz="4" w:space="0"/>
              <w:right w:val="single" w:color="000000" w:sz="4" w:space="0"/>
            </w:tcBorders>
            <w:tcW w:w="1157" w:type="dxa"/>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611"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65"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项目</w:t>
            </w:r>
            <w:r/>
          </w:p>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68" w:type="dxa"/>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签约及服务</w:t>
            </w:r>
            <w:r/>
          </w:p>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备注</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1157"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11"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65" w:type="dxa"/>
            <w:textDirection w:val="lrTb"/>
            <w:noWrap w:val="false"/>
          </w:tcPr>
          <w:p>
            <w:pPr>
              <w:ind w:firstLine="12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5"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68"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1157"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11"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65"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5"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68"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1157"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11"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65"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5"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68"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1157"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11"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65"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5"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68"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1157"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11"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65"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5"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68"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1157"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11"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65"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5"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68"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1157"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11"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65"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5"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68"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1157"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11"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65"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5"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68"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r>
    </w:tbl>
    <w:p>
      <w:pPr>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 </w:t>
      </w:r>
      <w:r/>
    </w:p>
    <w:p>
      <w:pPr>
        <w:pStyle w:val="898"/>
        <w:ind w:left="0" w:right="1470"/>
        <w:jc w:val="left"/>
        <w:spacing w:line="360" w:lineRule="auto"/>
        <w:rPr>
          <w:color w:val="auto"/>
          <w:highlight w:val="none"/>
        </w:rPr>
      </w:pPr>
      <w:r>
        <w:rPr>
          <w:rFonts w:hint="eastAsia" w:ascii="宋体" w:hAnsi="宋体" w:cs="微软雅黑"/>
          <w:color w:val="auto"/>
          <w:szCs w:val="21"/>
          <w:highlight w:val="none"/>
        </w:rPr>
        <w:t xml:space="preserve">供应商名称</w:t>
      </w:r>
      <w:r>
        <w:rPr>
          <w:rFonts w:hint="eastAsia"/>
          <w:color w:val="auto"/>
          <w:highlight w:val="none"/>
        </w:rPr>
        <w:t xml:space="preserve">　（盖章）:                       </w:t>
      </w:r>
      <w:r/>
    </w:p>
    <w:p>
      <w:pPr>
        <w:pStyle w:val="898"/>
        <w:ind w:left="0" w:right="1470"/>
        <w:jc w:val="left"/>
        <w:spacing w:line="360" w:lineRule="auto"/>
        <w:rPr>
          <w:color w:val="auto"/>
          <w:highlight w:val="none"/>
        </w:rPr>
      </w:pPr>
      <w:r>
        <w:rPr>
          <w:rFonts w:hint="eastAsia"/>
          <w:color w:val="auto"/>
          <w:highlight w:val="none"/>
        </w:rPr>
        <w:t xml:space="preserve">日            期：        年    月    日</w:t>
      </w:r>
      <w:r/>
    </w:p>
    <w:p>
      <w:pPr>
        <w:spacing w:line="360" w:lineRule="auto"/>
        <w:widowControl/>
        <w:rPr>
          <w:rFonts w:ascii="宋体" w:hAnsi="宋体"/>
          <w:b/>
          <w:bCs/>
          <w:color w:val="auto"/>
          <w:szCs w:val="21"/>
          <w:highlight w:val="none"/>
        </w:rPr>
      </w:pPr>
      <w:r>
        <w:rPr>
          <w:rFonts w:ascii="宋体" w:hAnsi="宋体"/>
          <w:b/>
          <w:bCs/>
          <w:color w:val="auto"/>
          <w:szCs w:val="21"/>
          <w:highlight w:val="none"/>
        </w:rPr>
      </w:r>
      <w:r/>
    </w:p>
    <w:p>
      <w:pPr>
        <w:spacing w:line="360" w:lineRule="auto"/>
        <w:widowControl/>
        <w:rPr>
          <w:rFonts w:ascii="宋体" w:hAnsi="宋体"/>
          <w:bCs/>
          <w:color w:val="auto"/>
          <w:szCs w:val="21"/>
          <w:highlight w:val="none"/>
        </w:rPr>
      </w:pPr>
      <w:r>
        <w:rPr>
          <w:rFonts w:hint="eastAsia" w:ascii="宋体" w:hAnsi="宋体"/>
          <w:bCs/>
          <w:color w:val="auto"/>
          <w:szCs w:val="21"/>
          <w:highlight w:val="none"/>
        </w:rPr>
        <w:t xml:space="preserve">说明：请投标供应商根据本格式要求如实填写业绩情况表，并附相关证明文件。</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widowControl/>
        <w:rPr>
          <w:rFonts w:ascii="宋体" w:hAnsi="宋体"/>
          <w:b/>
          <w:bCs/>
          <w:color w:val="auto"/>
          <w:szCs w:val="21"/>
          <w:highlight w:val="none"/>
        </w:rPr>
      </w:pPr>
      <w:r>
        <w:rPr>
          <w:rFonts w:ascii="宋体" w:hAnsi="宋体"/>
          <w:b/>
          <w:bCs/>
          <w:color w:val="auto"/>
          <w:szCs w:val="21"/>
          <w:highlight w:val="none"/>
        </w:rPr>
      </w:r>
      <w:r/>
    </w:p>
    <w:p>
      <w:pPr>
        <w:spacing w:line="360" w:lineRule="auto"/>
        <w:widowControl/>
        <w:rPr>
          <w:rFonts w:ascii="宋体" w:hAnsi="宋体"/>
          <w:b/>
          <w:bCs/>
          <w:color w:val="auto"/>
          <w:szCs w:val="21"/>
          <w:highlight w:val="none"/>
          <w:lang w:val="zh-CN"/>
        </w:rPr>
      </w:pPr>
      <w:r>
        <w:rPr>
          <w:rFonts w:ascii="宋体" w:hAnsi="宋体"/>
          <w:b/>
          <w:bCs/>
          <w:color w:val="auto"/>
          <w:szCs w:val="21"/>
          <w:highlight w:val="none"/>
          <w:lang w:val="zh-CN"/>
        </w:rPr>
      </w:r>
      <w:r/>
    </w:p>
    <w:p>
      <w:pPr>
        <w:spacing w:line="360" w:lineRule="auto"/>
        <w:widowControl/>
        <w:rPr>
          <w:rFonts w:ascii="宋体" w:hAnsi="宋体"/>
          <w:b/>
          <w:bCs/>
          <w:color w:val="auto"/>
          <w:szCs w:val="21"/>
          <w:highlight w:val="none"/>
          <w:lang w:val="zh-CN"/>
        </w:rPr>
      </w:pPr>
      <w:r>
        <w:rPr>
          <w:rFonts w:ascii="宋体" w:hAnsi="宋体"/>
          <w:b/>
          <w:bCs/>
          <w:color w:val="auto"/>
          <w:szCs w:val="21"/>
          <w:highlight w:val="none"/>
          <w:lang w:val="zh-CN"/>
        </w:rPr>
      </w:r>
      <w:r/>
    </w:p>
    <w:p>
      <w:pPr>
        <w:jc w:val="left"/>
        <w:spacing w:line="360" w:lineRule="auto"/>
        <w:shd w:val="clear" w:color="auto" w:fill="ffffff"/>
        <w:rPr>
          <w:rFonts w:ascii="宋体" w:hAnsi="宋体" w:cs="宋体"/>
          <w:color w:val="auto"/>
          <w:sz w:val="24"/>
          <w:highlight w:val="none"/>
          <w:lang w:val="zh-CN"/>
        </w:rPr>
      </w:pPr>
      <w:r/>
      <w:bookmarkStart w:id="76" w:name="_Toc24515"/>
      <w:r/>
      <w:r/>
    </w:p>
    <w:p>
      <w:pPr>
        <w:jc w:val="left"/>
        <w:spacing w:line="360" w:lineRule="auto"/>
        <w:shd w:val="clear" w:color="auto" w:fill="ffffff"/>
        <w:rPr>
          <w:rFonts w:ascii="宋体" w:hAnsi="宋体"/>
          <w:b/>
          <w:bCs/>
          <w:color w:val="auto"/>
          <w:sz w:val="24"/>
          <w:highlight w:val="none"/>
          <w:lang w:val="zh-CN"/>
        </w:rPr>
      </w:pPr>
      <w:r>
        <w:rPr>
          <w:rFonts w:ascii="宋体" w:hAnsi="宋体"/>
          <w:b/>
          <w:bCs/>
          <w:color w:val="auto"/>
          <w:sz w:val="24"/>
          <w:highlight w:val="none"/>
          <w:lang w:val="zh-CN"/>
        </w:rPr>
      </w:r>
      <w:r/>
    </w:p>
    <w:p>
      <w:pPr>
        <w:jc w:val="left"/>
        <w:spacing w:line="360" w:lineRule="auto"/>
        <w:shd w:val="clear" w:color="auto" w:fill="ffffff"/>
        <w:widowControl/>
        <w:rPr>
          <w:rFonts w:ascii="宋体"/>
          <w:b/>
          <w:bCs/>
          <w:color w:val="auto"/>
          <w:sz w:val="24"/>
          <w:highlight w:val="none"/>
          <w:lang w:val="zh-CN"/>
        </w:rPr>
      </w:pPr>
      <w:r>
        <w:rPr>
          <w:rFonts w:hint="eastAsia" w:ascii="宋体" w:hAnsi="宋体"/>
          <w:b/>
          <w:bCs/>
          <w:color w:val="auto"/>
          <w:sz w:val="24"/>
          <w:highlight w:val="none"/>
          <w:lang w:val="zh-CN"/>
        </w:rPr>
        <w:t xml:space="preserve">附件九、</w:t>
      </w:r>
      <w:bookmarkEnd w:id="76"/>
      <w:r>
        <w:rPr>
          <w:rFonts w:hint="eastAsia" w:ascii="宋体" w:hAnsi="宋体"/>
          <w:b/>
          <w:bCs/>
          <w:color w:val="auto"/>
          <w:sz w:val="24"/>
          <w:highlight w:val="none"/>
          <w:lang w:val="zh-CN"/>
        </w:rPr>
        <w:t xml:space="preserve">拟投入项目负责人履历表、拟参与本项目人员一览表</w:t>
      </w:r>
      <w:r/>
    </w:p>
    <w:p>
      <w:pPr>
        <w:jc w:val="center"/>
        <w:spacing w:line="360" w:lineRule="auto"/>
        <w:widowControl/>
        <w:rPr>
          <w:rFonts w:ascii="宋体" w:hAnsi="宋体"/>
          <w:color w:val="auto"/>
          <w:sz w:val="28"/>
          <w:highlight w:val="none"/>
        </w:rPr>
      </w:pPr>
      <w:r>
        <w:rPr>
          <w:rFonts w:hint="eastAsia" w:ascii="宋体" w:hAnsi="宋体"/>
          <w:color w:val="auto"/>
          <w:sz w:val="28"/>
          <w:highlight w:val="none"/>
        </w:rPr>
        <w:t xml:space="preserve">拟投入项目负责人履</w:t>
      </w:r>
      <w:r>
        <w:rPr>
          <w:rFonts w:ascii="宋体" w:hAnsi="宋体"/>
          <w:color w:val="auto"/>
          <w:sz w:val="28"/>
          <w:highlight w:val="none"/>
        </w:rPr>
        <w:t xml:space="preserve">历</w:t>
      </w:r>
      <w:r>
        <w:rPr>
          <w:rFonts w:hint="eastAsia" w:ascii="宋体" w:hAnsi="宋体"/>
          <w:color w:val="auto"/>
          <w:sz w:val="28"/>
          <w:highlight w:val="none"/>
        </w:rPr>
        <w:t xml:space="preserve">表</w:t>
      </w:r>
      <w:r/>
    </w:p>
    <w:tbl>
      <w:tblPr>
        <w:tblStyle w:val="885"/>
        <w:tblW w:w="0" w:type="auto"/>
        <w:tblInd w:w="113" w:type="dxa"/>
        <w:tblLayout w:type="fixed"/>
        <w:tblCellMar>
          <w:left w:w="0" w:type="dxa"/>
          <w:top w:w="0" w:type="dxa"/>
          <w:right w:w="0" w:type="dxa"/>
          <w:bottom w:w="0" w:type="dxa"/>
        </w:tblCellMar>
        <w:tblLook w:val="04A0" w:firstRow="1" w:lastRow="0" w:firstColumn="1" w:lastColumn="0" w:noHBand="0" w:noVBand="1"/>
      </w:tblPr>
      <w:tblGrid>
        <w:gridCol w:w="2046"/>
        <w:gridCol w:w="1012"/>
        <w:gridCol w:w="583"/>
        <w:gridCol w:w="1203"/>
        <w:gridCol w:w="491"/>
        <w:gridCol w:w="784"/>
        <w:gridCol w:w="1476"/>
        <w:gridCol w:w="1650"/>
      </w:tblGrid>
      <w:tr>
        <w:trPr>
          <w:trHeight w:val="838"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姓</w:t>
            </w:r>
            <w:r>
              <w:rPr>
                <w:rFonts w:ascii="宋体" w:hAnsi="宋体"/>
                <w:color w:val="auto"/>
                <w:szCs w:val="21"/>
                <w:highlight w:val="none"/>
              </w:rPr>
              <w:tab/>
            </w:r>
            <w:r>
              <w:rPr>
                <w:rFonts w:ascii="宋体" w:hAnsi="宋体"/>
                <w:color w:val="auto"/>
                <w:szCs w:val="21"/>
                <w:highlight w:val="none"/>
              </w:rPr>
              <w:t xml:space="preserve">名</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出生日期</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年</w:t>
            </w:r>
            <w:r>
              <w:rPr>
                <w:rFonts w:ascii="宋体" w:hAnsi="宋体"/>
                <w:color w:val="auto"/>
                <w:szCs w:val="21"/>
                <w:highlight w:val="none"/>
              </w:rPr>
              <w:tab/>
            </w:r>
            <w:r>
              <w:rPr>
                <w:rFonts w:ascii="宋体" w:hAnsi="宋体"/>
                <w:color w:val="auto"/>
                <w:szCs w:val="21"/>
                <w:highlight w:val="none"/>
              </w:rPr>
              <w:t xml:space="preserve">月</w:t>
            </w:r>
            <w:r>
              <w:rPr>
                <w:rFonts w:ascii="宋体" w:hAnsi="宋体"/>
                <w:color w:val="auto"/>
                <w:szCs w:val="21"/>
                <w:highlight w:val="none"/>
              </w:rPr>
              <w:tab/>
            </w:r>
            <w:r>
              <w:rPr>
                <w:rFonts w:ascii="宋体" w:hAnsi="宋体"/>
                <w:color w:val="auto"/>
                <w:szCs w:val="21"/>
                <w:highlight w:val="none"/>
              </w:rPr>
              <w:t xml:space="preserve">日</w:t>
            </w:r>
            <w:r/>
          </w:p>
        </w:tc>
      </w:tr>
      <w:tr>
        <w:trPr>
          <w:trHeight w:val="758"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毕业院校</w:t>
            </w:r>
            <w:r/>
          </w:p>
        </w:tc>
        <w:tc>
          <w:tcPr>
            <w:gridSpan w:val="3"/>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毕业时间</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年</w:t>
            </w:r>
            <w:r>
              <w:rPr>
                <w:rFonts w:ascii="宋体" w:hAnsi="宋体"/>
                <w:color w:val="auto"/>
                <w:szCs w:val="21"/>
                <w:highlight w:val="none"/>
              </w:rPr>
              <w:tab/>
            </w:r>
            <w:r>
              <w:rPr>
                <w:rFonts w:ascii="宋体" w:hAnsi="宋体"/>
                <w:color w:val="auto"/>
                <w:szCs w:val="21"/>
                <w:highlight w:val="none"/>
              </w:rPr>
              <w:t xml:space="preserve">月</w:t>
            </w:r>
            <w:r>
              <w:rPr>
                <w:rFonts w:ascii="宋体" w:hAnsi="宋体"/>
                <w:color w:val="auto"/>
                <w:szCs w:val="21"/>
                <w:highlight w:val="none"/>
              </w:rPr>
              <w:tab/>
            </w:r>
            <w:r>
              <w:rPr>
                <w:rFonts w:ascii="宋体" w:hAnsi="宋体"/>
                <w:color w:val="auto"/>
                <w:szCs w:val="21"/>
                <w:highlight w:val="none"/>
              </w:rPr>
              <w:t xml:space="preserve">日</w:t>
            </w:r>
            <w:r/>
          </w:p>
        </w:tc>
      </w:tr>
      <w:tr>
        <w:trPr>
          <w:trHeight w:val="793"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专业</w:t>
            </w:r>
            <w:r/>
          </w:p>
        </w:tc>
        <w:tc>
          <w:tcPr>
            <w:gridSpan w:val="2"/>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从事本专业时间</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r>
      <w:tr>
        <w:trPr>
          <w:trHeight w:val="403"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职务</w:t>
            </w:r>
            <w:r/>
          </w:p>
        </w:tc>
        <w:tc>
          <w:tcPr>
            <w:gridSpan w:val="2"/>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职称</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r>
      <w:tr>
        <w:trPr>
          <w:trHeight w:val="1073" w:hRule="exact"/>
        </w:trPr>
        <w:tc>
          <w:tcPr>
            <w:gridSpan w:val="8"/>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jc w:val="center"/>
              <w:spacing w:line="360" w:lineRule="auto"/>
              <w:widowControl/>
              <w:rPr>
                <w:rFonts w:ascii="宋体" w:hAnsi="宋体"/>
                <w:b/>
                <w:bCs/>
                <w:color w:val="auto"/>
                <w:szCs w:val="21"/>
                <w:highlight w:val="none"/>
              </w:rPr>
            </w:pPr>
            <w:r>
              <w:rPr>
                <w:rFonts w:ascii="宋体" w:hAnsi="宋体"/>
                <w:b/>
                <w:bCs/>
                <w:color w:val="auto"/>
                <w:szCs w:val="21"/>
                <w:highlight w:val="none"/>
              </w:rPr>
              <w:t xml:space="preserve">主</w:t>
            </w:r>
            <w:r>
              <w:rPr>
                <w:rFonts w:ascii="宋体" w:hAnsi="宋体"/>
                <w:b/>
                <w:bCs/>
                <w:color w:val="auto"/>
                <w:szCs w:val="21"/>
                <w:highlight w:val="none"/>
              </w:rPr>
              <w:tab/>
            </w:r>
            <w:r>
              <w:rPr>
                <w:rFonts w:ascii="宋体" w:hAnsi="宋体"/>
                <w:b/>
                <w:bCs/>
                <w:color w:val="auto"/>
                <w:szCs w:val="21"/>
                <w:highlight w:val="none"/>
              </w:rPr>
              <w:t xml:space="preserve">要</w:t>
            </w:r>
            <w:r>
              <w:rPr>
                <w:rFonts w:ascii="宋体" w:hAnsi="宋体"/>
                <w:b/>
                <w:bCs/>
                <w:color w:val="auto"/>
                <w:szCs w:val="21"/>
                <w:highlight w:val="none"/>
              </w:rPr>
              <w:tab/>
            </w:r>
            <w:r>
              <w:rPr>
                <w:rFonts w:ascii="宋体" w:hAnsi="宋体"/>
                <w:b/>
                <w:bCs/>
                <w:color w:val="auto"/>
                <w:szCs w:val="21"/>
                <w:highlight w:val="none"/>
              </w:rPr>
              <w:t xml:space="preserve">经</w:t>
            </w:r>
            <w:r>
              <w:rPr>
                <w:rFonts w:ascii="宋体" w:hAnsi="宋体"/>
                <w:b/>
                <w:bCs/>
                <w:color w:val="auto"/>
                <w:szCs w:val="21"/>
                <w:highlight w:val="none"/>
              </w:rPr>
              <w:tab/>
            </w:r>
            <w:r>
              <w:rPr>
                <w:rFonts w:ascii="宋体" w:hAnsi="宋体"/>
                <w:b/>
                <w:bCs/>
                <w:color w:val="auto"/>
                <w:szCs w:val="21"/>
                <w:highlight w:val="none"/>
              </w:rPr>
              <w:t xml:space="preserve">历</w:t>
            </w:r>
            <w:r/>
          </w:p>
        </w:tc>
      </w:tr>
      <w:tr>
        <w:trPr>
          <w:trHeight w:val="773" w:hRule="exact"/>
        </w:trPr>
        <w:tc>
          <w:tcPr>
            <w:tcBorders>
              <w:top w:val="single" w:color="000000" w:sz="4" w:space="0"/>
              <w:left w:val="single" w:color="000000" w:sz="4" w:space="0"/>
              <w:bottom w:val="single" w:color="000000" w:sz="4" w:space="0"/>
              <w:right w:val="single" w:color="000000" w:sz="4" w:space="0"/>
            </w:tcBorders>
            <w:tcW w:w="2046"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时</w:t>
            </w:r>
            <w:r>
              <w:rPr>
                <w:rFonts w:ascii="宋体" w:hAnsi="宋体"/>
                <w:color w:val="auto"/>
                <w:szCs w:val="21"/>
                <w:highlight w:val="none"/>
              </w:rPr>
              <w:tab/>
            </w:r>
            <w:r>
              <w:rPr>
                <w:rFonts w:ascii="宋体" w:hAnsi="宋体"/>
                <w:color w:val="auto"/>
                <w:szCs w:val="21"/>
                <w:highlight w:val="none"/>
              </w:rPr>
              <w:t xml:space="preserve">间</w:t>
            </w:r>
            <w:r/>
          </w:p>
        </w:tc>
        <w:tc>
          <w:tcPr>
            <w:gridSpan w:val="4"/>
            <w:tcBorders>
              <w:top w:val="single" w:color="000000" w:sz="4" w:space="0"/>
              <w:left w:val="single" w:color="000000" w:sz="4" w:space="0"/>
              <w:bottom w:val="single" w:color="000000" w:sz="4" w:space="0"/>
              <w:right w:val="single" w:color="000000" w:sz="4" w:space="0"/>
            </w:tcBorders>
            <w:tcW w:w="3289"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参加过的项目名称及规模</w:t>
            </w:r>
            <w:r/>
          </w:p>
        </w:tc>
        <w:tc>
          <w:tcPr>
            <w:gridSpan w:val="2"/>
            <w:tcBorders>
              <w:top w:val="single" w:color="000000" w:sz="4" w:space="0"/>
              <w:left w:val="single" w:color="000000" w:sz="4" w:space="0"/>
              <w:bottom w:val="single" w:color="000000" w:sz="4" w:space="0"/>
              <w:right w:val="single" w:color="000000" w:sz="4" w:space="0"/>
            </w:tcBorders>
            <w:tcW w:w="2260"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t xml:space="preserve">该项目中任职</w:t>
            </w:r>
            <w:r/>
          </w:p>
        </w:tc>
        <w:tc>
          <w:tcPr>
            <w:tcBorders>
              <w:top w:val="single" w:color="000000" w:sz="4" w:space="0"/>
              <w:left w:val="single" w:color="000000" w:sz="4" w:space="0"/>
              <w:bottom w:val="single" w:color="000000" w:sz="4" w:space="0"/>
              <w:right w:val="single" w:color="000000" w:sz="4" w:space="0"/>
            </w:tcBorders>
            <w:tcW w:w="1650" w:type="dxa"/>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2"/>
                <w:highlight w:val="none"/>
              </w:rPr>
              <w:t xml:space="preserve">业主单位</w:t>
            </w:r>
            <w:r>
              <w:rPr>
                <w:rFonts w:hint="eastAsia" w:ascii="宋体" w:hAnsi="宋体"/>
                <w:color w:val="auto"/>
                <w:szCs w:val="22"/>
                <w:highlight w:val="none"/>
              </w:rPr>
              <w:t xml:space="preserve">、联系人电话</w:t>
            </w:r>
            <w:r/>
          </w:p>
        </w:tc>
      </w:tr>
      <w:tr>
        <w:trPr>
          <w:trHeight w:val="1891" w:hRule="exact"/>
        </w:trPr>
        <w:tc>
          <w:tcPr>
            <w:tcBorders>
              <w:top w:val="single" w:color="000000" w:sz="4" w:space="0"/>
              <w:left w:val="single" w:color="000000" w:sz="4" w:space="0"/>
              <w:bottom w:val="single" w:color="000000" w:sz="4" w:space="0"/>
              <w:right w:val="single" w:color="000000" w:sz="4" w:space="0"/>
            </w:tcBorders>
            <w:tcW w:w="2046" w:type="dxa"/>
            <w:textDirection w:val="lrTb"/>
            <w:noWrap w:val="false"/>
          </w:tcPr>
          <w:p>
            <w:pPr>
              <w:spacing w:line="360" w:lineRule="auto"/>
              <w:widowControl/>
              <w:rPr>
                <w:rFonts w:ascii="宋体" w:hAnsi="宋体"/>
                <w:color w:val="auto"/>
                <w:szCs w:val="21"/>
                <w:highlight w:val="none"/>
              </w:rPr>
            </w:pPr>
            <w:r>
              <w:rPr>
                <w:rFonts w:ascii="宋体" w:hAnsi="宋体"/>
                <w:color w:val="auto"/>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3289" w:type="dxa"/>
            <w:textDirection w:val="lrTb"/>
            <w:noWrap w:val="false"/>
          </w:tcPr>
          <w:p>
            <w:pPr>
              <w:spacing w:line="360" w:lineRule="auto"/>
              <w:widowControl/>
              <w:rPr>
                <w:rFonts w:ascii="宋体" w:hAnsi="宋体"/>
                <w:color w:val="auto"/>
                <w:szCs w:val="21"/>
                <w:highlight w:val="none"/>
              </w:rPr>
            </w:pPr>
            <w:r>
              <w:rPr>
                <w:rFonts w:ascii="宋体" w:hAnsi="宋体"/>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260" w:type="dxa"/>
            <w:textDirection w:val="lrTb"/>
            <w:noWrap w:val="false"/>
          </w:tcPr>
          <w:p>
            <w:pPr>
              <w:spacing w:line="360" w:lineRule="auto"/>
              <w:widowControl/>
              <w:rPr>
                <w:color w:val="auto"/>
                <w:highlight w:val="none"/>
              </w:rPr>
            </w:pPr>
            <w:r>
              <w:rPr>
                <w:color w:val="auto"/>
                <w:highlight w:val="none"/>
              </w:rPr>
            </w: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p>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textDirection w:val="lrTb"/>
            <w:noWrap w:val="false"/>
          </w:tcPr>
          <w:p>
            <w:pPr>
              <w:ind w:firstLine="420"/>
              <w:jc w:val="left"/>
              <w:spacing w:line="360" w:lineRule="auto"/>
              <w:widowControl/>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s="微软雅黑"/>
          <w:color w:val="auto"/>
          <w:szCs w:val="21"/>
          <w:highlight w:val="none"/>
        </w:rPr>
      </w:pPr>
      <w:r>
        <w:rPr>
          <w:rFonts w:hint="eastAsia" w:ascii="宋体" w:hAnsi="宋体" w:cs="微软雅黑"/>
          <w:color w:val="auto"/>
          <w:szCs w:val="21"/>
          <w:highlight w:val="none"/>
        </w:rPr>
        <w:t xml:space="preserve">供应商名称（公章）：        </w:t>
      </w:r>
      <w:r/>
    </w:p>
    <w:p>
      <w:pPr>
        <w:spacing w:line="360" w:lineRule="auto"/>
        <w:rPr>
          <w:rFonts w:ascii="宋体" w:hAnsi="宋体" w:cs="微软雅黑"/>
          <w:color w:val="auto"/>
          <w:szCs w:val="21"/>
          <w:highlight w:val="none"/>
        </w:rPr>
      </w:pPr>
      <w:r>
        <w:rPr>
          <w:rFonts w:hint="eastAsia" w:ascii="宋体" w:hAnsi="宋体" w:cs="微软雅黑"/>
          <w:color w:val="auto"/>
          <w:szCs w:val="21"/>
          <w:highlight w:val="none"/>
        </w:rPr>
        <w:t xml:space="preserve">法定代表人（或授权代表）（签字）：   </w:t>
      </w:r>
      <w:r/>
    </w:p>
    <w:p>
      <w:pPr>
        <w:spacing w:line="360" w:lineRule="auto"/>
        <w:rPr>
          <w:rFonts w:ascii="宋体" w:hAnsi="宋体" w:cs="微软雅黑"/>
          <w:color w:val="auto"/>
          <w:szCs w:val="21"/>
          <w:highlight w:val="none"/>
        </w:rPr>
      </w:pPr>
      <w:r>
        <w:rPr>
          <w:rFonts w:hint="eastAsia" w:ascii="宋体" w:hAnsi="宋体" w:cs="微软雅黑"/>
          <w:color w:val="auto"/>
          <w:szCs w:val="21"/>
          <w:highlight w:val="none"/>
        </w:rPr>
        <w:t xml:space="preserve">日期：          </w:t>
      </w:r>
      <w:r/>
    </w:p>
    <w:p>
      <w:pPr>
        <w:jc w:val="left"/>
        <w:spacing w:line="360" w:lineRule="auto"/>
        <w:rPr>
          <w:rFonts w:ascii="宋体" w:hAnsi="宋体" w:cs="Verdana"/>
          <w:color w:val="auto"/>
          <w:szCs w:val="21"/>
          <w:highlight w:val="none"/>
          <w:lang w:val="zh-CN"/>
        </w:rPr>
      </w:pPr>
      <w:r>
        <w:rPr>
          <w:rFonts w:ascii="宋体" w:hAnsi="宋体" w:cs="Verdana"/>
          <w:color w:val="auto"/>
          <w:szCs w:val="21"/>
          <w:highlight w:val="none"/>
          <w:lang w:val="zh-CN"/>
        </w:rPr>
        <w:t xml:space="preserve">说明：</w:t>
      </w:r>
      <w:r>
        <w:rPr>
          <w:rFonts w:hint="eastAsia" w:ascii="宋体" w:hAnsi="宋体" w:cs="Verdana"/>
          <w:color w:val="auto"/>
          <w:szCs w:val="21"/>
          <w:highlight w:val="none"/>
          <w:lang w:val="zh-CN"/>
        </w:rPr>
        <w:t xml:space="preserve">1</w:t>
      </w:r>
      <w:r>
        <w:rPr>
          <w:rFonts w:ascii="宋体" w:hAnsi="宋体" w:cs="Verdana"/>
          <w:color w:val="auto"/>
          <w:szCs w:val="21"/>
          <w:highlight w:val="none"/>
          <w:lang w:val="zh-CN"/>
        </w:rPr>
        <w:t xml:space="preserve">、如果行数不够，请自行增加。</w:t>
      </w:r>
      <w:r/>
    </w:p>
    <w:p>
      <w:pPr>
        <w:spacing w:line="360" w:lineRule="auto"/>
        <w:rPr>
          <w:color w:val="auto"/>
          <w:highlight w:val="none"/>
          <w:lang w:val="zh-CN"/>
        </w:rPr>
      </w:pPr>
      <w:r>
        <w:rPr>
          <w:rFonts w:hint="eastAsia"/>
          <w:color w:val="auto"/>
          <w:highlight w:val="none"/>
          <w:lang w:val="zh-CN"/>
        </w:rPr>
        <w:br w:type="page" w:clear="all"/>
      </w:r>
      <w:r/>
    </w:p>
    <w:p>
      <w:pPr>
        <w:jc w:val="center"/>
        <w:spacing w:line="360" w:lineRule="auto"/>
        <w:widowControl/>
        <w:rPr>
          <w:rFonts w:ascii="宋体" w:hAnsi="宋体"/>
          <w:color w:val="auto"/>
          <w:sz w:val="28"/>
          <w:highlight w:val="none"/>
        </w:rPr>
      </w:pPr>
      <w:r>
        <w:rPr>
          <w:rFonts w:hint="eastAsia" w:ascii="宋体" w:hAnsi="宋体"/>
          <w:color w:val="auto"/>
          <w:sz w:val="28"/>
          <w:highlight w:val="none"/>
        </w:rPr>
        <w:t xml:space="preserve">拟参与本项目人员一览表</w:t>
      </w:r>
      <w:r/>
    </w:p>
    <w:p>
      <w:pPr>
        <w:ind w:firstLine="211"/>
        <w:jc w:val="left"/>
        <w:spacing w:before="100" w:beforeAutospacing="1" w:after="100" w:afterAutospacing="1" w:line="360" w:lineRule="auto"/>
        <w:rPr>
          <w:rFonts w:ascii="宋体" w:hAnsi="宋体" w:eastAsia="楷体_GB2312"/>
          <w:b/>
          <w:bCs/>
          <w:color w:val="auto"/>
          <w:sz w:val="28"/>
          <w:szCs w:val="21"/>
          <w:highlight w:val="none"/>
        </w:rPr>
      </w:pPr>
      <w:r>
        <w:rPr>
          <w:rFonts w:ascii="宋体" w:hAnsi="宋体" w:cs="Arial"/>
          <w:b/>
          <w:bCs/>
          <w:color w:val="auto"/>
          <w:szCs w:val="21"/>
          <w:highlight w:val="none"/>
          <w:lang w:val="zh-CN"/>
        </w:rPr>
        <w:t xml:space="preserve">项目</w:t>
      </w:r>
      <w:r>
        <w:rPr>
          <w:rFonts w:ascii="宋体" w:hAnsi="宋体" w:cs="Arial"/>
          <w:b/>
          <w:bCs/>
          <w:color w:val="auto"/>
          <w:szCs w:val="21"/>
          <w:highlight w:val="none"/>
        </w:rPr>
        <w:t xml:space="preserve">名称</w:t>
      </w:r>
      <w:r>
        <w:rPr>
          <w:rFonts w:ascii="宋体" w:hAnsi="宋体" w:cs="Arial"/>
          <w:b/>
          <w:bCs/>
          <w:color w:val="auto"/>
          <w:szCs w:val="21"/>
          <w:highlight w:val="none"/>
          <w:lang w:val="zh-CN"/>
        </w:rPr>
        <w:t xml:space="preserve">：</w:t>
      </w:r>
      <w:r>
        <w:rPr>
          <w:rFonts w:hint="eastAsia" w:ascii="宋体" w:hAnsi="宋体" w:cs="Arial"/>
          <w:b/>
          <w:bCs/>
          <w:color w:val="auto"/>
          <w:szCs w:val="21"/>
          <w:highlight w:val="none"/>
          <w:lang w:val="zh-CN"/>
        </w:rPr>
        <w:t xml:space="preserve">                                                   </w:t>
      </w:r>
      <w:r>
        <w:rPr>
          <w:rFonts w:ascii="宋体" w:hAnsi="宋体" w:cs="Arial"/>
          <w:b/>
          <w:bCs/>
          <w:color w:val="auto"/>
          <w:szCs w:val="21"/>
          <w:highlight w:val="none"/>
          <w:lang w:val="zh-CN"/>
        </w:rPr>
        <w:t xml:space="preserve">项目编号：</w:t>
      </w:r>
      <w:r/>
    </w:p>
    <w:tbl>
      <w:tblPr>
        <w:tblStyle w:val="885"/>
        <w:tblW w:w="9401" w:type="dxa"/>
        <w:jc w:val="center"/>
        <w:tblLayout w:type="fixed"/>
        <w:tblCellMar>
          <w:left w:w="108" w:type="dxa"/>
          <w:top w:w="0" w:type="dxa"/>
          <w:right w:w="108" w:type="dxa"/>
          <w:bottom w:w="0" w:type="dxa"/>
        </w:tblCellMar>
        <w:tblLook w:val="04A0" w:firstRow="1" w:lastRow="0" w:firstColumn="1" w:lastColumn="0" w:noHBand="0" w:noVBand="1"/>
      </w:tblPr>
      <w:tblGrid>
        <w:gridCol w:w="519"/>
        <w:gridCol w:w="872"/>
        <w:gridCol w:w="645"/>
        <w:gridCol w:w="690"/>
        <w:gridCol w:w="1103"/>
        <w:gridCol w:w="906"/>
        <w:gridCol w:w="992"/>
        <w:gridCol w:w="967"/>
        <w:gridCol w:w="827"/>
        <w:gridCol w:w="1880"/>
      </w:tblGrid>
      <w:tr>
        <w:trPr>
          <w:jc w:val="center"/>
          <w:trHeight w:val="519"/>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72" w:type="dxa"/>
            <w:vAlign w:val="center"/>
            <w:textDirection w:val="lrTb"/>
            <w:noWrap/>
          </w:tcPr>
          <w:p>
            <w:pPr>
              <w:jc w:val="center"/>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45" w:type="dxa"/>
            <w:vAlign w:val="center"/>
            <w:textDirection w:val="lrTb"/>
            <w:noWrap/>
          </w:tcPr>
          <w:p>
            <w:pPr>
              <w:jc w:val="center"/>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tcPr>
          <w:p>
            <w:pPr>
              <w:jc w:val="center"/>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03" w:type="dxa"/>
            <w:vAlign w:val="center"/>
            <w:textDirection w:val="lrTb"/>
            <w:noWrap/>
          </w:tcPr>
          <w:p>
            <w:pPr>
              <w:jc w:val="center"/>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06" w:type="dxa"/>
            <w:vAlign w:val="center"/>
            <w:textDirection w:val="lrTb"/>
            <w:noWrap/>
          </w:tcPr>
          <w:p>
            <w:pPr>
              <w:jc w:val="center"/>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jc w:val="center"/>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执业</w:t>
            </w:r>
            <w:r/>
          </w:p>
          <w:p>
            <w:pPr>
              <w:jc w:val="center"/>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67" w:type="dxa"/>
            <w:vAlign w:val="center"/>
            <w:textDirection w:val="lrTb"/>
            <w:noWrap/>
          </w:tcPr>
          <w:p>
            <w:pPr>
              <w:jc w:val="center"/>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1880" w:type="dxa"/>
            <w:vAlign w:val="center"/>
            <w:textDirection w:val="lrTb"/>
            <w:noWrap/>
          </w:tcPr>
          <w:p>
            <w:pPr>
              <w:jc w:val="center"/>
              <w:spacing w:line="360" w:lineRule="auto"/>
              <w:widowControl/>
              <w:rPr>
                <w:rFonts w:ascii="宋体" w:hAnsi="宋体"/>
                <w:b/>
                <w:bCs/>
                <w:color w:val="auto"/>
                <w:szCs w:val="21"/>
                <w:highlight w:val="none"/>
              </w:rPr>
            </w:pPr>
            <w:r>
              <w:rPr>
                <w:rFonts w:hint="eastAsia" w:ascii="宋体" w:hAnsi="宋体"/>
                <w:b/>
                <w:bCs/>
                <w:color w:val="auto"/>
                <w:szCs w:val="21"/>
                <w:highlight w:val="none"/>
              </w:rPr>
              <w:t xml:space="preserve">本项目中担任岗位</w:t>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519"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72"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45"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90"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3"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06"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7"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27"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880"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r>
      <w:tr>
        <w:trPr>
          <w:jc w:val="center"/>
          <w:trHeight w:val="248"/>
        </w:trPr>
        <w:tc>
          <w:tcPr>
            <w:tcBorders>
              <w:top w:val="single" w:color="000000" w:sz="4" w:space="0"/>
              <w:left w:val="single" w:color="000000" w:sz="4" w:space="0"/>
              <w:bottom w:val="single" w:color="000000" w:sz="4" w:space="0"/>
              <w:right w:val="single" w:color="000000" w:sz="4" w:space="0"/>
            </w:tcBorders>
            <w:tcW w:w="519"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72"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45"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90"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3"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06"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7"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27"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880"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519"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72"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45"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90"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3"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06"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7"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27"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880"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r>
      <w:tr>
        <w:trPr>
          <w:jc w:val="center"/>
          <w:trHeight w:val="248"/>
        </w:trPr>
        <w:tc>
          <w:tcPr>
            <w:tcBorders>
              <w:top w:val="single" w:color="000000" w:sz="4" w:space="0"/>
              <w:left w:val="single" w:color="000000" w:sz="4" w:space="0"/>
              <w:bottom w:val="single" w:color="000000" w:sz="4" w:space="0"/>
              <w:right w:val="single" w:color="000000" w:sz="4" w:space="0"/>
            </w:tcBorders>
            <w:tcW w:w="519"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72"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45"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90"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3"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06"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7"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27"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880"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519"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72"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45"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90"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3"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06"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7"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27"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880"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519"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72"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45"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90"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3"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06"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7"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27"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880"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r>
      <w:tr>
        <w:trPr>
          <w:jc w:val="center"/>
          <w:trHeight w:val="248"/>
        </w:trPr>
        <w:tc>
          <w:tcPr>
            <w:tcBorders>
              <w:top w:val="single" w:color="000000" w:sz="4" w:space="0"/>
              <w:left w:val="single" w:color="000000" w:sz="4" w:space="0"/>
              <w:bottom w:val="single" w:color="000000" w:sz="4" w:space="0"/>
              <w:right w:val="single" w:color="000000" w:sz="4" w:space="0"/>
            </w:tcBorders>
            <w:tcW w:w="519"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72"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45"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90"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3"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06"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7"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27"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880"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519"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72"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45"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90"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3"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06"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7"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27"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880" w:type="dxa"/>
            <w:textDirection w:val="lrTb"/>
            <w:noWrap/>
          </w:tcPr>
          <w:p>
            <w:pPr>
              <w:spacing w:line="360" w:lineRule="auto"/>
              <w:widowControl/>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s="微软雅黑"/>
          <w:color w:val="auto"/>
          <w:szCs w:val="21"/>
          <w:highlight w:val="none"/>
        </w:rPr>
      </w:pPr>
      <w:r>
        <w:rPr>
          <w:rFonts w:hint="eastAsia" w:ascii="宋体" w:hAnsi="宋体" w:cs="微软雅黑"/>
          <w:color w:val="auto"/>
          <w:szCs w:val="21"/>
          <w:highlight w:val="none"/>
        </w:rPr>
        <w:t xml:space="preserve">供应商名称（公章）：        </w:t>
      </w:r>
      <w:r/>
    </w:p>
    <w:p>
      <w:pPr>
        <w:spacing w:line="360" w:lineRule="auto"/>
        <w:rPr>
          <w:rFonts w:ascii="宋体" w:hAnsi="宋体" w:cs="微软雅黑"/>
          <w:color w:val="auto"/>
          <w:szCs w:val="21"/>
          <w:highlight w:val="none"/>
        </w:rPr>
      </w:pPr>
      <w:r>
        <w:rPr>
          <w:rFonts w:hint="eastAsia" w:ascii="宋体" w:hAnsi="宋体" w:cs="微软雅黑"/>
          <w:color w:val="auto"/>
          <w:szCs w:val="21"/>
          <w:highlight w:val="none"/>
        </w:rPr>
        <w:t xml:space="preserve">法定代表人（或授权代表）（签字）：   </w:t>
      </w:r>
      <w:r/>
    </w:p>
    <w:p>
      <w:pPr>
        <w:spacing w:line="360" w:lineRule="auto"/>
        <w:rPr>
          <w:rFonts w:ascii="宋体" w:hAnsi="宋体" w:cs="微软雅黑"/>
          <w:color w:val="auto"/>
          <w:szCs w:val="21"/>
          <w:highlight w:val="none"/>
        </w:rPr>
      </w:pPr>
      <w:r>
        <w:rPr>
          <w:rFonts w:hint="eastAsia" w:ascii="宋体" w:hAnsi="宋体" w:cs="微软雅黑"/>
          <w:color w:val="auto"/>
          <w:szCs w:val="21"/>
          <w:highlight w:val="none"/>
        </w:rPr>
        <w:t xml:space="preserve">日期：          </w:t>
      </w:r>
      <w:r/>
    </w:p>
    <w:p>
      <w:pPr>
        <w:jc w:val="left"/>
        <w:spacing w:line="360" w:lineRule="auto"/>
        <w:rPr>
          <w:rFonts w:ascii="宋体" w:hAnsi="宋体" w:cs="Verdana"/>
          <w:color w:val="auto"/>
          <w:szCs w:val="21"/>
          <w:highlight w:val="none"/>
          <w:lang w:val="zh-CN"/>
        </w:rPr>
      </w:pPr>
      <w:r>
        <w:rPr>
          <w:rFonts w:ascii="宋体" w:hAnsi="宋体" w:cs="Verdana"/>
          <w:color w:val="auto"/>
          <w:szCs w:val="21"/>
          <w:highlight w:val="none"/>
          <w:lang w:val="zh-CN"/>
        </w:rPr>
        <w:t xml:space="preserve">说明：</w:t>
      </w:r>
      <w:r>
        <w:rPr>
          <w:rFonts w:hint="eastAsia" w:ascii="宋体" w:hAnsi="宋体" w:cs="Verdana"/>
          <w:color w:val="auto"/>
          <w:szCs w:val="21"/>
          <w:highlight w:val="none"/>
          <w:lang w:val="zh-CN"/>
        </w:rPr>
        <w:t xml:space="preserve">1</w:t>
      </w:r>
      <w:r>
        <w:rPr>
          <w:rFonts w:ascii="宋体" w:hAnsi="宋体" w:cs="Verdana"/>
          <w:color w:val="auto"/>
          <w:szCs w:val="21"/>
          <w:highlight w:val="none"/>
          <w:lang w:val="zh-CN"/>
        </w:rPr>
        <w:t xml:space="preserve">、如果行数不够，请自行增加。</w:t>
      </w:r>
      <w:r/>
    </w:p>
    <w:p>
      <w:pPr>
        <w:spacing w:line="360" w:lineRule="auto"/>
        <w:rPr>
          <w:color w:val="auto"/>
          <w:highlight w:val="none"/>
          <w:lang w:val="zh-CN"/>
        </w:rPr>
      </w:pPr>
      <w:r>
        <w:rPr>
          <w:rFonts w:hint="eastAsia"/>
          <w:color w:val="auto"/>
          <w:highlight w:val="none"/>
          <w:lang w:val="zh-CN"/>
        </w:rPr>
        <w:br w:type="page" w:clear="all"/>
      </w:r>
      <w:r/>
    </w:p>
    <w:p>
      <w:pPr>
        <w:pStyle w:val="896"/>
        <w:spacing w:line="360" w:lineRule="auto"/>
        <w:rPr>
          <w:color w:val="auto"/>
          <w:highlight w:val="none"/>
          <w:lang w:val="zh-CN" w:eastAsia="zh-CN"/>
        </w:rPr>
      </w:pPr>
      <w:r>
        <w:rPr>
          <w:color w:val="auto"/>
          <w:highlight w:val="none"/>
          <w:lang w:val="zh-CN" w:eastAsia="zh-CN"/>
        </w:rPr>
      </w:r>
      <w:r/>
    </w:p>
    <w:p>
      <w:pPr>
        <w:pStyle w:val="896"/>
        <w:spacing w:line="360" w:lineRule="auto"/>
        <w:rPr>
          <w:color w:val="auto"/>
          <w:highlight w:val="none"/>
          <w:lang w:val="zh-CN" w:eastAsia="zh-CN"/>
        </w:rPr>
      </w:pPr>
      <w:r>
        <w:rPr>
          <w:color w:val="auto"/>
          <w:highlight w:val="none"/>
          <w:lang w:val="zh-CN" w:eastAsia="zh-CN"/>
        </w:rPr>
      </w:r>
      <w:r/>
    </w:p>
    <w:p>
      <w:pPr>
        <w:ind w:right="633"/>
        <w:jc w:val="left"/>
        <w:spacing w:line="360" w:lineRule="auto"/>
        <w:shd w:val="clear" w:color="auto" w:fill="ffffff"/>
        <w:rPr>
          <w:rStyle w:val="997"/>
          <w:rFonts w:ascii="宋体" w:hAnsi="宋体"/>
          <w:b/>
          <w:color w:val="auto"/>
          <w:szCs w:val="21"/>
          <w:highlight w:val="none"/>
        </w:rPr>
      </w:pPr>
      <w:r>
        <w:rPr>
          <w:rFonts w:ascii="宋体" w:hAnsi="宋体"/>
          <w:b/>
          <w:color w:val="auto"/>
          <w:szCs w:val="21"/>
          <w:highlight w:val="none"/>
        </w:rPr>
      </w:r>
      <w:r/>
    </w:p>
    <w:p>
      <w:pPr>
        <w:spacing w:line="360" w:lineRule="auto"/>
        <w:rPr>
          <w:rFonts w:ascii="宋体" w:hAnsi="宋体"/>
          <w:b/>
          <w:bCs/>
          <w:color w:val="auto"/>
          <w:sz w:val="24"/>
          <w:highlight w:val="none"/>
          <w:lang w:val="zh-CN"/>
        </w:rPr>
      </w:pPr>
      <w:r>
        <w:rPr>
          <w:rFonts w:hint="eastAsia" w:ascii="宋体" w:hAnsi="宋体"/>
          <w:b/>
          <w:bCs/>
          <w:color w:val="auto"/>
          <w:sz w:val="24"/>
          <w:highlight w:val="none"/>
          <w:lang w:val="zh-CN"/>
        </w:rPr>
        <w:t xml:space="preserve">附件十、具备履行合同所必需的设备和专业技术能力的声明格式及证明材料</w:t>
      </w:r>
      <w:r/>
    </w:p>
    <w:p>
      <w:pPr>
        <w:ind w:firstLine="562"/>
        <w:jc w:val="center"/>
        <w:spacing w:line="360" w:lineRule="auto"/>
        <w:rPr>
          <w:rFonts w:ascii="宋体" w:hAnsi="宋体" w:cs="宋体"/>
          <w:b/>
          <w:bCs/>
          <w:color w:val="auto"/>
          <w:sz w:val="28"/>
          <w:highlight w:val="none"/>
          <w:lang w:val="zh-CN"/>
        </w:rPr>
        <w:outlineLvl w:val="0"/>
      </w:pPr>
      <w:r/>
      <w:bookmarkStart w:id="77" w:name="_Toc32398"/>
      <w:r/>
      <w:bookmarkStart w:id="78" w:name="_Toc32280_WPSOffice_Level2"/>
      <w:r/>
      <w:bookmarkStart w:id="79" w:name="_Toc11124"/>
      <w:r/>
      <w:r/>
    </w:p>
    <w:p>
      <w:pPr>
        <w:ind w:firstLine="562"/>
        <w:jc w:val="center"/>
        <w:spacing w:line="360" w:lineRule="auto"/>
        <w:rPr>
          <w:rFonts w:ascii="宋体" w:hAnsi="宋体" w:cs="宋体"/>
          <w:b/>
          <w:bCs/>
          <w:color w:val="auto"/>
          <w:sz w:val="28"/>
          <w:highlight w:val="none"/>
          <w:lang w:val="zh-CN"/>
        </w:rPr>
        <w:outlineLvl w:val="0"/>
      </w:pPr>
      <w:r>
        <w:rPr>
          <w:rFonts w:hint="eastAsia" w:ascii="宋体" w:hAnsi="宋体" w:cs="宋体"/>
          <w:b/>
          <w:bCs/>
          <w:color w:val="auto"/>
          <w:sz w:val="28"/>
          <w:highlight w:val="none"/>
          <w:lang w:val="zh-CN"/>
        </w:rPr>
        <w:t xml:space="preserve">具备履行合同所必需的设备和专业技术能力的声明格式</w:t>
      </w:r>
      <w:bookmarkEnd w:id="77"/>
      <w:r/>
      <w:bookmarkEnd w:id="78"/>
      <w:r/>
      <w:bookmarkEnd w:id="79"/>
      <w:r/>
      <w:r/>
    </w:p>
    <w:p>
      <w:pPr>
        <w:spacing w:line="360" w:lineRule="auto"/>
        <w:rPr>
          <w:color w:val="auto"/>
          <w:szCs w:val="21"/>
          <w:highlight w:val="none"/>
        </w:rPr>
      </w:pPr>
      <w:r>
        <w:rPr>
          <w:rFonts w:hint="eastAsia" w:ascii="宋体" w:hAnsi="宋体" w:cs="宋体"/>
          <w:color w:val="auto"/>
          <w:szCs w:val="21"/>
          <w:highlight w:val="none"/>
        </w:rPr>
        <w:t xml:space="preserve"> 南京市秦淮河河道管理处　　</w:t>
      </w:r>
      <w:r>
        <w:rPr>
          <w:rFonts w:hint="eastAsia"/>
          <w:color w:val="auto"/>
          <w:szCs w:val="21"/>
          <w:highlight w:val="none"/>
        </w:rPr>
        <w:t xml:space="preserve">：</w:t>
      </w:r>
      <w:r/>
    </w:p>
    <w:p>
      <w:pPr>
        <w:ind w:firstLine="492"/>
        <w:spacing w:line="360" w:lineRule="auto"/>
        <w:rPr>
          <w:color w:val="auto"/>
          <w:szCs w:val="21"/>
          <w:highlight w:val="none"/>
        </w:rPr>
      </w:pPr>
      <w:r>
        <w:rPr>
          <w:rFonts w:hint="eastAsia"/>
          <w:color w:val="auto"/>
          <w:szCs w:val="21"/>
          <w:highlight w:val="none"/>
        </w:rPr>
        <w:t xml:space="preserve">我单位（</w:t>
      </w:r>
      <w:r>
        <w:rPr>
          <w:rFonts w:hint="eastAsia" w:ascii="宋体" w:hAnsi="宋体"/>
          <w:color w:val="auto"/>
          <w:szCs w:val="21"/>
          <w:highlight w:val="none"/>
        </w:rPr>
        <w:t xml:space="preserve">供应商名称</w:t>
      </w:r>
      <w:r>
        <w:rPr>
          <w:rFonts w:hint="eastAsia"/>
          <w:color w:val="auto"/>
          <w:szCs w:val="21"/>
          <w:highlight w:val="none"/>
        </w:rPr>
        <w:t xml:space="preserve">）郑重声明：</w:t>
      </w:r>
      <w:r/>
    </w:p>
    <w:p>
      <w:pPr>
        <w:ind w:firstLine="492"/>
        <w:spacing w:line="360" w:lineRule="auto"/>
        <w:rPr>
          <w:color w:val="auto"/>
          <w:szCs w:val="21"/>
          <w:highlight w:val="none"/>
        </w:rPr>
      </w:pPr>
      <w:r>
        <w:rPr>
          <w:rFonts w:hint="eastAsia"/>
          <w:color w:val="auto"/>
          <w:szCs w:val="21"/>
          <w:highlight w:val="none"/>
        </w:rPr>
        <w:t xml:space="preserve">我公司具备履行本项采购合同所必需的设备和专业技术能力，为履行本项采购合同我单位具备如下主要设备和主要专业技术能力：</w:t>
      </w:r>
      <w:r/>
    </w:p>
    <w:p>
      <w:pPr>
        <w:ind w:firstLine="492"/>
        <w:spacing w:line="360" w:lineRule="auto"/>
        <w:rPr>
          <w:color w:val="auto"/>
          <w:szCs w:val="21"/>
          <w:highlight w:val="none"/>
        </w:rPr>
      </w:pPr>
      <w:r>
        <w:rPr>
          <w:rFonts w:hint="eastAsia"/>
          <w:color w:val="auto"/>
          <w:szCs w:val="21"/>
          <w:highlight w:val="none"/>
        </w:rPr>
        <w:t xml:space="preserve">主要设备有： ( 如有 )</w:t>
      </w:r>
      <w:r/>
    </w:p>
    <w:p>
      <w:pPr>
        <w:ind w:firstLine="492"/>
        <w:spacing w:line="360" w:lineRule="auto"/>
        <w:rPr>
          <w:color w:val="auto"/>
          <w:szCs w:val="21"/>
          <w:highlight w:val="none"/>
        </w:rPr>
      </w:pPr>
      <w:r>
        <w:rPr>
          <w:rFonts w:hint="eastAsia"/>
          <w:color w:val="auto"/>
          <w:szCs w:val="21"/>
          <w:highlight w:val="none"/>
        </w:rPr>
        <w:t xml:space="preserve">主要专业技术能力有： ( 如有 )</w:t>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rFonts w:hint="eastAsia"/>
          <w:color w:val="auto"/>
          <w:szCs w:val="21"/>
          <w:highlight w:val="none"/>
        </w:rPr>
        <w:t xml:space="preserve">                                                  声明人（盖章）： </w:t>
      </w:r>
      <w:r/>
    </w:p>
    <w:p>
      <w:pPr>
        <w:spacing w:line="360" w:lineRule="auto"/>
        <w:rPr>
          <w:color w:val="auto"/>
          <w:szCs w:val="21"/>
          <w:highlight w:val="none"/>
        </w:rPr>
      </w:pPr>
      <w:r>
        <w:rPr>
          <w:rFonts w:hint="eastAsia"/>
          <w:color w:val="auto"/>
          <w:szCs w:val="21"/>
          <w:highlight w:val="none"/>
        </w:rPr>
        <w:t xml:space="preserve">                                                 日  期：______年___月___日</w:t>
      </w:r>
      <w:r/>
    </w:p>
    <w:p>
      <w:pPr>
        <w:pStyle w:val="969"/>
        <w:ind w:firstLine="0"/>
        <w:rPr>
          <w:rFonts w:eastAsiaTheme="minorEastAsia"/>
          <w:b/>
          <w:color w:val="auto"/>
          <w:highlight w:val="none"/>
          <w:lang w:eastAsia="zh-CN"/>
        </w:rPr>
      </w:pPr>
      <w:r>
        <w:rPr>
          <w:rFonts w:eastAsiaTheme="minorEastAsia"/>
          <w:b/>
          <w:color w:val="auto"/>
          <w:highlight w:val="none"/>
          <w:lang w:eastAsia="zh-CN"/>
        </w:rPr>
      </w:r>
      <w:r/>
    </w:p>
    <w:p>
      <w:pPr>
        <w:pStyle w:val="969"/>
        <w:ind w:firstLine="482"/>
        <w:rPr>
          <w:b/>
          <w:color w:val="auto"/>
          <w:highlight w:val="none"/>
          <w:lang w:eastAsia="zh-CN"/>
        </w:rPr>
      </w:pPr>
      <w:r>
        <w:rPr>
          <w:b/>
          <w:color w:val="auto"/>
          <w:highlight w:val="none"/>
          <w:lang w:eastAsia="zh-CN"/>
        </w:rPr>
      </w:r>
      <w:r/>
    </w:p>
    <w:p>
      <w:pPr>
        <w:pStyle w:val="969"/>
        <w:rPr>
          <w:rFonts w:eastAsiaTheme="minorEastAsia"/>
          <w:color w:val="auto"/>
          <w:highlight w:val="none"/>
          <w:lang w:eastAsia="zh-CN"/>
        </w:rPr>
      </w:pPr>
      <w:r>
        <w:rPr>
          <w:rFonts w:eastAsiaTheme="minorEastAsia"/>
          <w:color w:val="auto"/>
          <w:highlight w:val="none"/>
          <w:lang w:eastAsia="zh-CN"/>
        </w:rPr>
      </w:r>
      <w:r/>
    </w:p>
    <w:p>
      <w:pP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b/>
          <w:bCs/>
          <w:color w:val="auto"/>
          <w:sz w:val="24"/>
          <w:highlight w:val="none"/>
          <w:lang w:val="zh-CN"/>
        </w:rPr>
      </w:pPr>
      <w:r/>
      <w:bookmarkStart w:id="80" w:name="_Toc4663"/>
      <w:r>
        <w:rPr>
          <w:rFonts w:hint="eastAsia" w:ascii="宋体" w:hAnsi="宋体"/>
          <w:b/>
          <w:bCs/>
          <w:color w:val="auto"/>
          <w:sz w:val="24"/>
          <w:highlight w:val="none"/>
          <w:lang w:val="zh-CN"/>
        </w:rPr>
        <w:br w:type="page" w:clear="all"/>
      </w:r>
      <w:r/>
    </w:p>
    <w:p>
      <w:pPr>
        <w:jc w:val="left"/>
        <w:spacing w:line="360" w:lineRule="auto"/>
        <w:shd w:val="clear" w:color="auto" w:fill="ffffff"/>
        <w:rPr>
          <w:rFonts w:ascii="宋体" w:hAnsi="宋体"/>
          <w:b/>
          <w:bCs/>
          <w:color w:val="auto"/>
          <w:sz w:val="24"/>
          <w:highlight w:val="none"/>
          <w:lang w:val="zh-CN"/>
        </w:rPr>
      </w:pPr>
      <w:r>
        <w:rPr>
          <w:rFonts w:hint="eastAsia" w:ascii="宋体" w:hAnsi="宋体"/>
          <w:b/>
          <w:bCs/>
          <w:color w:val="auto"/>
          <w:sz w:val="24"/>
          <w:highlight w:val="none"/>
          <w:lang w:val="zh-CN"/>
        </w:rPr>
        <w:t xml:space="preserve">附件</w:t>
      </w:r>
      <w:r>
        <w:rPr>
          <w:rFonts w:hint="eastAsia" w:ascii="宋体" w:hAnsi="宋体"/>
          <w:b/>
          <w:bCs/>
          <w:color w:val="auto"/>
          <w:sz w:val="24"/>
          <w:highlight w:val="none"/>
        </w:rPr>
        <w:t xml:space="preserve">十一</w:t>
      </w:r>
      <w:r>
        <w:rPr>
          <w:rFonts w:hint="eastAsia" w:ascii="宋体" w:hAnsi="宋体"/>
          <w:b/>
          <w:bCs/>
          <w:color w:val="auto"/>
          <w:sz w:val="24"/>
          <w:highlight w:val="none"/>
          <w:lang w:val="zh-CN"/>
        </w:rPr>
        <w:t xml:space="preserve">、无重大违法记录声明格式</w:t>
      </w:r>
      <w:bookmarkEnd w:id="80"/>
      <w:r/>
      <w:r/>
    </w:p>
    <w:p>
      <w:pPr>
        <w:jc w:val="center"/>
        <w:spacing w:line="360" w:lineRule="auto"/>
        <w:rPr>
          <w:rFonts w:ascii="宋体" w:hAnsi="宋体"/>
          <w:color w:val="auto"/>
          <w:sz w:val="28"/>
          <w:szCs w:val="36"/>
          <w:highlight w:val="none"/>
        </w:rPr>
      </w:pPr>
      <w:r>
        <w:rPr>
          <w:rFonts w:ascii="宋体" w:hAnsi="宋体"/>
          <w:color w:val="auto"/>
          <w:sz w:val="28"/>
          <w:szCs w:val="36"/>
          <w:highlight w:val="none"/>
        </w:rPr>
      </w:r>
      <w:r/>
    </w:p>
    <w:p>
      <w:pPr>
        <w:jc w:val="center"/>
        <w:spacing w:line="360" w:lineRule="auto"/>
        <w:rPr>
          <w:rFonts w:ascii="宋体" w:hAnsi="宋体"/>
          <w:color w:val="auto"/>
          <w:sz w:val="36"/>
          <w:szCs w:val="36"/>
          <w:highlight w:val="none"/>
        </w:rPr>
      </w:pPr>
      <w:r>
        <w:rPr>
          <w:rFonts w:hint="eastAsia" w:ascii="宋体" w:hAnsi="宋体"/>
          <w:color w:val="auto"/>
          <w:sz w:val="36"/>
          <w:szCs w:val="36"/>
          <w:highlight w:val="none"/>
        </w:rPr>
        <w:t xml:space="preserve">无重大违法记录声明</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s="宋体"/>
          <w:color w:val="auto"/>
          <w:szCs w:val="21"/>
          <w:highlight w:val="none"/>
        </w:rPr>
        <w:t xml:space="preserve"> 南京市秦淮河河道管理处　　</w:t>
      </w:r>
      <w:r>
        <w:rPr>
          <w:rFonts w:hint="eastAsia" w:ascii="宋体" w:hAnsi="宋体"/>
          <w:color w:val="auto"/>
          <w:szCs w:val="21"/>
          <w:highlight w:val="none"/>
        </w:rPr>
        <w:t xml:space="preserve">：</w:t>
      </w:r>
      <w:r/>
    </w:p>
    <w:p>
      <w:pPr>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我单位</w:t>
      </w:r>
      <w:r>
        <w:rPr>
          <w:rFonts w:hint="eastAsia" w:ascii="宋体" w:hAnsi="宋体"/>
          <w:color w:val="auto"/>
          <w:highlight w:val="none"/>
          <w:u w:val="single"/>
        </w:rPr>
        <w:t xml:space="preserve">                                       </w:t>
      </w:r>
      <w:r>
        <w:rPr>
          <w:rFonts w:hint="eastAsia" w:ascii="宋体" w:hAnsi="宋体"/>
          <w:color w:val="auto"/>
          <w:highlight w:val="none"/>
        </w:rPr>
        <w:t xml:space="preserve">（供应商名称）郑重声明：</w:t>
      </w:r>
      <w:r/>
    </w:p>
    <w:p>
      <w:pPr>
        <w:ind w:firstLine="420"/>
        <w:spacing w:line="360" w:lineRule="auto"/>
        <w:rPr>
          <w:rFonts w:ascii="宋体" w:hAnsi="宋体"/>
          <w:color w:val="auto"/>
          <w:highlight w:val="none"/>
        </w:rPr>
      </w:pPr>
      <w:r>
        <w:rPr>
          <w:rFonts w:hint="eastAsia" w:ascii="宋体" w:hAnsi="宋体"/>
          <w:color w:val="auto"/>
          <w:highlight w:val="none"/>
        </w:rPr>
        <w:t xml:space="preserve">参加政府采购活动前3年内在经营活动中</w:t>
      </w:r>
      <w:r>
        <w:rPr>
          <w:rFonts w:hint="eastAsia" w:ascii="宋体" w:hAnsi="宋体"/>
          <w:color w:val="auto"/>
          <w:highlight w:val="none"/>
          <w:u w:val="single"/>
        </w:rPr>
        <w:t xml:space="preserve">        </w:t>
      </w:r>
      <w:r>
        <w:rPr>
          <w:rFonts w:hint="eastAsia" w:ascii="宋体" w:hAnsi="宋体"/>
          <w:color w:val="auto"/>
          <w:highlight w:val="none"/>
        </w:rPr>
        <w:t xml:space="preserve">（在下划线上如实填写：有或没有）重大违法记录。</w:t>
      </w:r>
      <w:r/>
    </w:p>
    <w:p>
      <w:pPr>
        <w:ind w:firstLine="315"/>
        <w:spacing w:line="360" w:lineRule="auto"/>
        <w:rPr>
          <w:rFonts w:ascii="宋体" w:hAnsi="宋体"/>
          <w:color w:val="auto"/>
          <w:highlight w:val="none"/>
        </w:rPr>
      </w:pPr>
      <w:r>
        <w:rPr>
          <w:rFonts w:hint="eastAsia" w:ascii="宋体" w:hAnsi="宋体"/>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olor w:val="auto"/>
          <w:highlight w:val="none"/>
        </w:rPr>
      </w:pPr>
      <w:r>
        <w:rPr>
          <w:rFonts w:ascii="宋体" w:hAnsi="宋体"/>
          <w:color w:val="auto"/>
          <w:highlight w:val="none"/>
        </w:rPr>
      </w:r>
      <w:r/>
    </w:p>
    <w:p>
      <w:pPr>
        <w:jc w:val="right"/>
        <w:spacing w:line="360" w:lineRule="auto"/>
        <w:rPr>
          <w:rFonts w:ascii="宋体" w:hAnsi="宋体"/>
          <w:color w:val="auto"/>
          <w:highlight w:val="none"/>
        </w:rPr>
      </w:pPr>
      <w:r>
        <w:rPr>
          <w:rFonts w:ascii="宋体" w:hAnsi="宋体"/>
          <w:color w:val="auto"/>
          <w:highlight w:val="none"/>
        </w:rPr>
      </w:r>
      <w:r/>
    </w:p>
    <w:p>
      <w:pPr>
        <w:pStyle w:val="898"/>
        <w:ind w:left="0" w:right="1470"/>
        <w:jc w:val="right"/>
        <w:spacing w:line="360" w:lineRule="auto"/>
        <w:rPr>
          <w:color w:val="auto"/>
          <w:highlight w:val="none"/>
        </w:rPr>
      </w:pPr>
      <w:r>
        <w:rPr>
          <w:rFonts w:hint="eastAsia"/>
          <w:color w:val="auto"/>
          <w:highlight w:val="none"/>
        </w:rPr>
        <w:t xml:space="preserve">投标供应商　（盖章）:                       </w:t>
      </w:r>
      <w:r/>
    </w:p>
    <w:p>
      <w:pPr>
        <w:pStyle w:val="898"/>
        <w:ind w:left="0" w:right="1470"/>
        <w:jc w:val="right"/>
        <w:spacing w:line="360" w:lineRule="auto"/>
        <w:rPr>
          <w:color w:val="auto"/>
          <w:highlight w:val="none"/>
        </w:rPr>
      </w:pPr>
      <w:r>
        <w:rPr>
          <w:rFonts w:hint="eastAsia"/>
          <w:color w:val="auto"/>
          <w:highlight w:val="none"/>
        </w:rPr>
        <w:t xml:space="preserve">日            期：        年    月    日</w:t>
      </w:r>
      <w:r/>
    </w:p>
    <w:p>
      <w:pPr>
        <w:pStyle w:val="876"/>
        <w:jc w:val="left"/>
        <w:spacing w:before="0" w:after="0" w:line="360" w:lineRule="auto"/>
        <w:rPr>
          <w:rFonts w:ascii="宋体" w:hAnsi="宋体" w:eastAsia="宋体" w:cs="宋体"/>
          <w:color w:val="auto"/>
          <w:sz w:val="24"/>
          <w:szCs w:val="24"/>
          <w:highlight w:val="none"/>
          <w:lang w:val="zh-CN"/>
        </w:rPr>
      </w:pPr>
      <w:r>
        <w:rPr>
          <w:rFonts w:ascii="宋体" w:hAnsi="宋体"/>
          <w:b w:val="0"/>
          <w:color w:val="auto"/>
          <w:szCs w:val="21"/>
          <w:highlight w:val="none"/>
          <w:lang w:val="zh-CN"/>
        </w:rPr>
        <w:br w:type="page" w:clear="all"/>
      </w:r>
      <w:bookmarkStart w:id="81" w:name="_Toc14019"/>
      <w:r>
        <w:rPr>
          <w:rFonts w:hint="eastAsia" w:ascii="宋体" w:hAnsi="宋体" w:eastAsia="宋体" w:cs="宋体"/>
          <w:color w:val="auto"/>
          <w:sz w:val="24"/>
          <w:szCs w:val="24"/>
          <w:highlight w:val="none"/>
          <w:lang w:val="zh-CN"/>
        </w:rPr>
        <w:t xml:space="preserve">附件十</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val="zh-CN"/>
        </w:rPr>
        <w:t xml:space="preserve">、</w:t>
      </w:r>
      <w:bookmarkEnd w:id="81"/>
      <w:r/>
      <w:bookmarkStart w:id="82" w:name="_Toc29720"/>
      <w:r>
        <w:rPr>
          <w:rFonts w:hint="eastAsia" w:ascii="宋体" w:hAnsi="宋体" w:eastAsia="宋体" w:cs="宋体"/>
          <w:color w:val="auto"/>
          <w:sz w:val="24"/>
          <w:szCs w:val="24"/>
          <w:highlight w:val="none"/>
          <w:lang w:val="zh-CN"/>
        </w:rPr>
        <w:t xml:space="preserve">附件十</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val="zh-CN"/>
        </w:rPr>
        <w:t xml:space="preserve">、资格证明文件</w:t>
      </w:r>
      <w:r/>
    </w:p>
    <w:p>
      <w:pPr>
        <w:jc w:val="left"/>
        <w:spacing w:line="360" w:lineRule="auto"/>
        <w:rPr>
          <w:rFonts w:ascii="宋体" w:hAnsi="宋体" w:cs="宋体"/>
          <w:bCs/>
          <w:color w:val="auto"/>
          <w:szCs w:val="21"/>
          <w:highlight w:val="none"/>
        </w:rPr>
      </w:pPr>
      <w:r>
        <w:rPr>
          <w:rFonts w:ascii="宋体" w:hAnsi="宋体" w:cs="宋体"/>
          <w:bCs/>
          <w:color w:val="auto"/>
          <w:szCs w:val="21"/>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（1）具有独立承担民事责任的能力（提供法人或者其他组织的营业执照，自然人的身份证明）；</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（3）具有履行合同所必需的设备和专业技术能力（根据项目需求提供履行合同所必需的设备和专业技术能力的证明材料）；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（5）参加政府采购活动前三年内，在经营活动中没有重大违法记录（提供参加本次政府采购活动前3年内在经营活动中没有重大违法记录的书面声明）（格式见后附件）；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6</w:t>
      </w:r>
      <w:r>
        <w:rPr>
          <w:rFonts w:hint="eastAsia" w:ascii="宋体" w:hAnsi="宋体" w:cs="宋体"/>
          <w:color w:val="auto"/>
          <w:szCs w:val="21"/>
          <w:highlight w:val="none"/>
        </w:rPr>
        <w:t xml:space="preserve">）法律、行政法规规定的其他条件。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（7）供应商提供</w:t>
      </w:r>
      <w:r>
        <w:rPr>
          <w:rFonts w:hint="eastAsia" w:ascii="宋体" w:hAnsi="宋体" w:cs="宋体"/>
          <w:color w:val="auto"/>
          <w:szCs w:val="21"/>
          <w:highlight w:val="none"/>
        </w:rPr>
        <w:t xml:space="preserve">《南京市政府采购供应商信用记录表暨信用承诺书》</w:t>
      </w:r>
      <w:r>
        <w:rPr>
          <w:rFonts w:hint="eastAsia" w:ascii="宋体" w:hAnsi="宋体" w:cs="宋体"/>
          <w:color w:val="auto"/>
          <w:szCs w:val="21"/>
          <w:highlight w:val="none"/>
        </w:rPr>
        <w:t xml:space="preserve">。</w:t>
      </w:r>
      <w:r/>
    </w:p>
    <w:p>
      <w:pPr>
        <w:pStyle w:val="876"/>
        <w:jc w:val="left"/>
        <w:spacing w:before="0" w:after="0"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br w:type="page" w:clear="all"/>
      </w:r>
      <w:r/>
    </w:p>
    <w:p>
      <w:pPr>
        <w:spacing w:line="360" w:lineRule="auto"/>
        <w:rPr>
          <w:rFonts w:ascii="宋体" w:hAnsi="宋体" w:cs="宋体"/>
          <w:b/>
          <w:color w:val="auto"/>
          <w:highlight w:val="none"/>
        </w:rPr>
        <w:outlineLvl w:val="1"/>
      </w:pPr>
      <w:r>
        <w:rPr>
          <w:rFonts w:hint="eastAsia"/>
          <w:b/>
          <w:bCs/>
          <w:color w:val="auto"/>
          <w:szCs w:val="21"/>
          <w:highlight w:val="none"/>
        </w:rPr>
        <w:t xml:space="preserve">《南京市政府采购供应商信用记录表暨信用承诺书》</w:t>
      </w:r>
      <w:r/>
    </w:p>
    <w:p>
      <w:pPr>
        <w:pStyle w:val="969"/>
        <w:ind w:firstLine="420"/>
        <w:rPr>
          <w:rFonts w:eastAsia="宋体"/>
          <w:color w:val="auto"/>
          <w:sz w:val="21"/>
          <w:szCs w:val="21"/>
          <w:highlight w:val="none"/>
          <w:lang w:eastAsia="zh-CN"/>
        </w:rPr>
      </w:pPr>
      <w:r>
        <w:rPr>
          <w:rFonts w:hint="eastAsia" w:eastAsia="宋体"/>
          <w:color w:val="auto"/>
          <w:sz w:val="21"/>
          <w:szCs w:val="21"/>
          <w:highlight w:val="none"/>
          <w:lang w:eastAsia="zh-CN"/>
        </w:rPr>
        <w:t xml:space="preserve">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h.com/）‘南</w:t>
      </w:r>
      <w:r>
        <w:rPr>
          <w:rFonts w:hint="eastAsia" w:eastAsia="宋体"/>
          <w:color w:val="auto"/>
          <w:sz w:val="21"/>
          <w:szCs w:val="21"/>
          <w:highlight w:val="none"/>
          <w:lang w:eastAsia="zh-CN"/>
        </w:rPr>
        <w:t xml:space="preserve">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上传至电子响应文件中，未按要求提供信用记录表的或提供不满足要求的，响应文件将被按无效投标处理。</w:t>
      </w:r>
      <w:r/>
    </w:p>
    <w:p>
      <w:pPr>
        <w:pStyle w:val="969"/>
        <w:ind w:firstLine="420"/>
        <w:rPr>
          <w:rFonts w:eastAsia="宋体"/>
          <w:color w:val="auto"/>
          <w:sz w:val="21"/>
          <w:szCs w:val="21"/>
          <w:highlight w:val="none"/>
          <w:lang w:eastAsia="zh-CN"/>
        </w:rPr>
      </w:pPr>
      <w:r>
        <w:rPr>
          <w:rFonts w:hint="eastAsia" w:eastAsia="宋体" w:cs="宋体"/>
          <w:color w:val="auto"/>
          <w:sz w:val="21"/>
          <w:szCs w:val="21"/>
          <w:highlight w:val="none"/>
          <w:lang w:eastAsia="zh-CN"/>
        </w:rPr>
        <w:t xml:space="preserve">在政府采购资格审查环节，供应商只需提供书面《南京市政府采购供应商信用记录表暨信用承诺书》，即可替代以下证明材料：</w:t>
      </w:r>
      <w:r/>
    </w:p>
    <w:p>
      <w:pPr>
        <w:pStyle w:val="969"/>
        <w:ind w:firstLine="420"/>
        <w:rPr>
          <w:rFonts w:eastAsia="宋体"/>
          <w:color w:val="auto"/>
          <w:sz w:val="21"/>
          <w:szCs w:val="21"/>
          <w:highlight w:val="none"/>
          <w:lang w:eastAsia="zh-CN"/>
        </w:rPr>
      </w:pPr>
      <w:r>
        <w:rPr>
          <w:rFonts w:hint="eastAsia" w:eastAsia="宋体" w:cs="宋体"/>
          <w:color w:val="auto"/>
          <w:sz w:val="21"/>
          <w:szCs w:val="21"/>
          <w:highlight w:val="none"/>
          <w:lang w:eastAsia="zh-CN"/>
        </w:rPr>
        <w:t xml:space="preserve">（</w:t>
      </w:r>
      <w:r>
        <w:rPr>
          <w:rFonts w:eastAsia="宋体"/>
          <w:color w:val="auto"/>
          <w:sz w:val="21"/>
          <w:szCs w:val="21"/>
          <w:highlight w:val="none"/>
          <w:lang w:eastAsia="zh-CN"/>
        </w:rPr>
        <w:t xml:space="preserve">1</w:t>
      </w:r>
      <w:r>
        <w:rPr>
          <w:rFonts w:hint="eastAsia" w:eastAsia="宋体" w:cs="宋体"/>
          <w:color w:val="auto"/>
          <w:sz w:val="21"/>
          <w:szCs w:val="21"/>
          <w:highlight w:val="none"/>
          <w:lang w:eastAsia="zh-CN"/>
        </w:rPr>
        <w:t xml:space="preserve">）符合国家相关规定的财务状况报告；</w:t>
      </w:r>
      <w:r/>
    </w:p>
    <w:p>
      <w:pPr>
        <w:pStyle w:val="969"/>
        <w:ind w:firstLine="420"/>
        <w:rPr>
          <w:rFonts w:eastAsia="宋体"/>
          <w:color w:val="auto"/>
          <w:sz w:val="21"/>
          <w:szCs w:val="21"/>
          <w:highlight w:val="none"/>
          <w:lang w:eastAsia="zh-CN"/>
        </w:rPr>
      </w:pPr>
      <w:r>
        <w:rPr>
          <w:rFonts w:hint="eastAsia" w:eastAsia="宋体" w:cs="宋体"/>
          <w:color w:val="auto"/>
          <w:sz w:val="21"/>
          <w:szCs w:val="21"/>
          <w:highlight w:val="none"/>
          <w:lang w:eastAsia="zh-CN"/>
        </w:rPr>
        <w:t xml:space="preserve">（</w:t>
      </w:r>
      <w:r>
        <w:rPr>
          <w:rFonts w:eastAsia="宋体"/>
          <w:color w:val="auto"/>
          <w:sz w:val="21"/>
          <w:szCs w:val="21"/>
          <w:highlight w:val="none"/>
          <w:lang w:eastAsia="zh-CN"/>
        </w:rPr>
        <w:t xml:space="preserve">2</w:t>
      </w:r>
      <w:r>
        <w:rPr>
          <w:rFonts w:hint="eastAsia" w:eastAsia="宋体" w:cs="宋体"/>
          <w:color w:val="auto"/>
          <w:sz w:val="21"/>
          <w:szCs w:val="21"/>
          <w:highlight w:val="none"/>
          <w:lang w:eastAsia="zh-CN"/>
        </w:rPr>
        <w:t xml:space="preserve">）依法缴纳税收的证明材料；</w:t>
      </w:r>
      <w:r/>
    </w:p>
    <w:p>
      <w:pPr>
        <w:pStyle w:val="969"/>
        <w:ind w:firstLine="420"/>
        <w:rPr>
          <w:rFonts w:eastAsia="宋体"/>
          <w:color w:val="auto"/>
          <w:sz w:val="21"/>
          <w:szCs w:val="21"/>
          <w:highlight w:val="none"/>
          <w:lang w:eastAsia="zh-CN"/>
        </w:rPr>
      </w:pPr>
      <w:r>
        <w:rPr>
          <w:rFonts w:hint="eastAsia" w:eastAsia="宋体" w:cs="宋体"/>
          <w:color w:val="auto"/>
          <w:sz w:val="21"/>
          <w:szCs w:val="21"/>
          <w:highlight w:val="none"/>
          <w:lang w:eastAsia="zh-CN"/>
        </w:rPr>
        <w:t xml:space="preserve">（</w:t>
      </w:r>
      <w:r>
        <w:rPr>
          <w:rFonts w:eastAsia="宋体"/>
          <w:color w:val="auto"/>
          <w:sz w:val="21"/>
          <w:szCs w:val="21"/>
          <w:highlight w:val="none"/>
          <w:lang w:eastAsia="zh-CN"/>
        </w:rPr>
        <w:t xml:space="preserve">3</w:t>
      </w:r>
      <w:r>
        <w:rPr>
          <w:rFonts w:hint="eastAsia" w:eastAsia="宋体" w:cs="宋体"/>
          <w:color w:val="auto"/>
          <w:sz w:val="21"/>
          <w:szCs w:val="21"/>
          <w:highlight w:val="none"/>
          <w:lang w:eastAsia="zh-CN"/>
        </w:rPr>
        <w:t xml:space="preserve">）依法缴纳社会保障资金的证明材料；</w:t>
      </w:r>
      <w:r/>
    </w:p>
    <w:p>
      <w:pPr>
        <w:pStyle w:val="969"/>
        <w:ind w:firstLine="420"/>
        <w:rPr>
          <w:rFonts w:eastAsia="宋体"/>
          <w:color w:val="auto"/>
          <w:sz w:val="21"/>
          <w:szCs w:val="21"/>
          <w:highlight w:val="none"/>
          <w:lang w:eastAsia="zh-CN"/>
        </w:rPr>
      </w:pPr>
      <w:r>
        <w:rPr>
          <w:rFonts w:hint="eastAsia" w:eastAsia="宋体" w:cs="宋体"/>
          <w:color w:val="auto"/>
          <w:sz w:val="21"/>
          <w:szCs w:val="21"/>
          <w:highlight w:val="none"/>
          <w:lang w:eastAsia="zh-CN"/>
        </w:rPr>
        <w:t xml:space="preserve">（</w:t>
      </w:r>
      <w:r>
        <w:rPr>
          <w:rFonts w:eastAsia="宋体"/>
          <w:color w:val="auto"/>
          <w:sz w:val="21"/>
          <w:szCs w:val="21"/>
          <w:highlight w:val="none"/>
          <w:lang w:eastAsia="zh-CN"/>
        </w:rPr>
        <w:t xml:space="preserve">4</w:t>
      </w:r>
      <w:r>
        <w:rPr>
          <w:rFonts w:hint="eastAsia" w:eastAsia="宋体" w:cs="宋体"/>
          <w:color w:val="auto"/>
          <w:sz w:val="21"/>
          <w:szCs w:val="21"/>
          <w:highlight w:val="none"/>
          <w:lang w:eastAsia="zh-CN"/>
        </w:rPr>
        <w:t xml:space="preserve">）具备履行政府采购合同所必需的设备和专业技术能力的证明材料；</w:t>
      </w:r>
      <w:r/>
    </w:p>
    <w:p>
      <w:pPr>
        <w:pStyle w:val="969"/>
        <w:ind w:firstLine="420"/>
        <w:rPr>
          <w:rFonts w:eastAsia="宋体"/>
          <w:color w:val="auto"/>
          <w:sz w:val="21"/>
          <w:szCs w:val="21"/>
          <w:highlight w:val="none"/>
          <w:lang w:eastAsia="zh-CN"/>
        </w:rPr>
      </w:pPr>
      <w:r>
        <w:rPr>
          <w:rFonts w:hint="eastAsia" w:eastAsia="宋体" w:cs="宋体"/>
          <w:color w:val="auto"/>
          <w:sz w:val="21"/>
          <w:szCs w:val="21"/>
          <w:highlight w:val="none"/>
          <w:lang w:eastAsia="zh-CN"/>
        </w:rPr>
        <w:t xml:space="preserve">（</w:t>
      </w:r>
      <w:r>
        <w:rPr>
          <w:rFonts w:eastAsia="宋体"/>
          <w:color w:val="auto"/>
          <w:sz w:val="21"/>
          <w:szCs w:val="21"/>
          <w:highlight w:val="none"/>
          <w:lang w:eastAsia="zh-CN"/>
        </w:rPr>
        <w:t xml:space="preserve">5</w:t>
      </w:r>
      <w:r>
        <w:rPr>
          <w:rFonts w:hint="eastAsia" w:eastAsia="宋体" w:cs="宋体"/>
          <w:color w:val="auto"/>
          <w:sz w:val="21"/>
          <w:szCs w:val="21"/>
          <w:highlight w:val="none"/>
          <w:lang w:eastAsia="zh-CN"/>
        </w:rPr>
        <w:t xml:space="preserve">）参加政府采购活动前三年内在经营活动中没有重大违法记录的证明材料；</w:t>
      </w:r>
      <w:r/>
    </w:p>
    <w:p>
      <w:pPr>
        <w:pStyle w:val="969"/>
        <w:ind w:firstLine="420"/>
        <w:rPr>
          <w:rFonts w:eastAsia="宋体"/>
          <w:color w:val="auto"/>
          <w:sz w:val="21"/>
          <w:szCs w:val="21"/>
          <w:highlight w:val="none"/>
          <w:lang w:eastAsia="zh-CN"/>
        </w:rPr>
      </w:pPr>
      <w:r>
        <w:rPr>
          <w:rFonts w:hint="eastAsia" w:eastAsia="宋体" w:cs="宋体"/>
          <w:color w:val="auto"/>
          <w:sz w:val="21"/>
          <w:szCs w:val="21"/>
          <w:highlight w:val="none"/>
          <w:lang w:eastAsia="zh-CN"/>
        </w:rPr>
        <w:t xml:space="preserve">（</w:t>
      </w:r>
      <w:r>
        <w:rPr>
          <w:rFonts w:eastAsia="宋体"/>
          <w:color w:val="auto"/>
          <w:sz w:val="21"/>
          <w:szCs w:val="21"/>
          <w:highlight w:val="none"/>
          <w:lang w:eastAsia="zh-CN"/>
        </w:rPr>
        <w:t xml:space="preserve">6</w:t>
      </w:r>
      <w:r>
        <w:rPr>
          <w:rFonts w:hint="eastAsia" w:eastAsia="宋体" w:cs="宋体"/>
          <w:color w:val="auto"/>
          <w:sz w:val="21"/>
          <w:szCs w:val="21"/>
          <w:highlight w:val="none"/>
          <w:lang w:eastAsia="zh-CN"/>
        </w:rPr>
        <w:t xml:space="preserve">）未被列入失信被执行人、重大税收违法失信主体、政府采购严重违法失信行为记录名单的证明材料。</w:t>
      </w:r>
      <w:r/>
    </w:p>
    <w:p>
      <w:pPr>
        <w:ind w:firstLine="210"/>
        <w:spacing w:line="360" w:lineRule="auto"/>
        <w:rPr>
          <w:color w:val="auto"/>
          <w:szCs w:val="21"/>
          <w:highlight w:val="none"/>
        </w:rPr>
      </w:pPr>
      <w:r>
        <w:rPr>
          <w:rFonts w:hint="eastAsia" w:ascii="宋体" w:hAnsi="宋体"/>
          <w:color w:val="auto"/>
          <w:szCs w:val="21"/>
          <w:highlight w:val="none"/>
        </w:rPr>
        <w:t xml:space="preserve">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w:t>
      </w:r>
      <w:r>
        <w:rPr>
          <w:rFonts w:hint="eastAsia" w:cs="宋体"/>
          <w:color w:val="auto"/>
          <w:szCs w:val="21"/>
          <w:highlight w:val="none"/>
        </w:rPr>
        <w:t xml:space="preserve">按采购文件要求胶装提交采购人或采购代理机构核验。经核验无误后，由采购人或采购代理机构发出中标（成交）通知书。</w:t>
      </w:r>
      <w:r/>
    </w:p>
    <w:p>
      <w:pPr>
        <w:pStyle w:val="969"/>
        <w:ind w:firstLine="420"/>
        <w:rPr>
          <w:rFonts w:eastAsia="宋体"/>
          <w:color w:val="auto"/>
          <w:sz w:val="21"/>
          <w:szCs w:val="21"/>
          <w:highlight w:val="none"/>
          <w:lang w:eastAsia="zh-CN"/>
        </w:rPr>
      </w:pPr>
      <w:r>
        <w:rPr>
          <w:rFonts w:hint="eastAsia" w:eastAsia="宋体" w:cs="宋体"/>
          <w:color w:val="auto"/>
          <w:sz w:val="21"/>
          <w:szCs w:val="21"/>
          <w:highlight w:val="none"/>
          <w:lang w:eastAsia="zh-CN"/>
        </w:rPr>
        <w:t xml:space="preserve">供应商涉及以下情形的，不适用信用承诺，仍须提供上述证明材料：</w:t>
      </w:r>
      <w:r/>
    </w:p>
    <w:p>
      <w:pPr>
        <w:pStyle w:val="969"/>
        <w:ind w:firstLine="420"/>
        <w:rPr>
          <w:rFonts w:eastAsia="宋体"/>
          <w:color w:val="auto"/>
          <w:sz w:val="21"/>
          <w:szCs w:val="21"/>
          <w:highlight w:val="none"/>
          <w:lang w:eastAsia="zh-CN"/>
        </w:rPr>
      </w:pPr>
      <w:r>
        <w:rPr>
          <w:rFonts w:hint="eastAsia" w:eastAsia="宋体" w:cs="宋体"/>
          <w:color w:val="auto"/>
          <w:sz w:val="21"/>
          <w:szCs w:val="21"/>
          <w:highlight w:val="none"/>
          <w:lang w:eastAsia="zh-CN"/>
        </w:rPr>
        <w:t xml:space="preserve">（</w:t>
      </w:r>
      <w:r>
        <w:rPr>
          <w:rFonts w:eastAsia="宋体"/>
          <w:color w:val="auto"/>
          <w:sz w:val="21"/>
          <w:szCs w:val="21"/>
          <w:highlight w:val="none"/>
          <w:lang w:eastAsia="zh-CN"/>
        </w:rPr>
        <w:t xml:space="preserve">1</w:t>
      </w:r>
      <w:r>
        <w:rPr>
          <w:rFonts w:hint="eastAsia" w:eastAsia="宋体" w:cs="宋体"/>
          <w:color w:val="auto"/>
          <w:sz w:val="21"/>
          <w:szCs w:val="21"/>
          <w:highlight w:val="none"/>
          <w:lang w:eastAsia="zh-CN"/>
        </w:rPr>
        <w:t xml:space="preserve">）供应商被列入严重失信主体名单；</w:t>
      </w:r>
      <w:r/>
    </w:p>
    <w:p>
      <w:pPr>
        <w:pStyle w:val="969"/>
        <w:ind w:firstLine="420"/>
        <w:rPr>
          <w:rFonts w:eastAsia="宋体"/>
          <w:color w:val="auto"/>
          <w:sz w:val="21"/>
          <w:szCs w:val="21"/>
          <w:highlight w:val="none"/>
          <w:lang w:eastAsia="zh-CN"/>
        </w:rPr>
      </w:pPr>
      <w:r>
        <w:rPr>
          <w:rFonts w:hint="eastAsia" w:eastAsia="宋体" w:cs="宋体"/>
          <w:color w:val="auto"/>
          <w:sz w:val="21"/>
          <w:szCs w:val="21"/>
          <w:highlight w:val="none"/>
          <w:lang w:eastAsia="zh-CN"/>
        </w:rPr>
        <w:t xml:space="preserve">（</w:t>
      </w:r>
      <w:r>
        <w:rPr>
          <w:rFonts w:eastAsia="宋体"/>
          <w:color w:val="auto"/>
          <w:sz w:val="21"/>
          <w:szCs w:val="21"/>
          <w:highlight w:val="none"/>
          <w:lang w:eastAsia="zh-CN"/>
        </w:rPr>
        <w:t xml:space="preserve">2</w:t>
      </w:r>
      <w:r>
        <w:rPr>
          <w:rFonts w:hint="eastAsia" w:eastAsia="宋体" w:cs="宋体"/>
          <w:color w:val="auto"/>
          <w:sz w:val="21"/>
          <w:szCs w:val="21"/>
          <w:highlight w:val="none"/>
          <w:lang w:eastAsia="zh-CN"/>
        </w:rPr>
        <w:t xml:space="preserve">）被相关监管部门作出行政处罚且尚在处罚有效期内；</w:t>
      </w:r>
      <w:r/>
    </w:p>
    <w:p>
      <w:pPr>
        <w:pStyle w:val="969"/>
        <w:ind w:firstLine="420"/>
        <w:rPr>
          <w:rFonts w:eastAsia="宋体"/>
          <w:color w:val="auto"/>
          <w:sz w:val="21"/>
          <w:szCs w:val="21"/>
          <w:highlight w:val="none"/>
          <w:lang w:eastAsia="zh-CN"/>
        </w:rPr>
      </w:pPr>
      <w:r>
        <w:rPr>
          <w:rFonts w:hint="eastAsia" w:eastAsia="宋体" w:cs="宋体"/>
          <w:color w:val="auto"/>
          <w:sz w:val="21"/>
          <w:szCs w:val="21"/>
          <w:highlight w:val="none"/>
          <w:lang w:eastAsia="zh-CN"/>
        </w:rPr>
        <w:t xml:space="preserve">（</w:t>
      </w:r>
      <w:r>
        <w:rPr>
          <w:rFonts w:eastAsia="宋体"/>
          <w:color w:val="auto"/>
          <w:sz w:val="21"/>
          <w:szCs w:val="21"/>
          <w:highlight w:val="none"/>
          <w:lang w:eastAsia="zh-CN"/>
        </w:rPr>
        <w:t xml:space="preserve">3</w:t>
      </w:r>
      <w:r>
        <w:rPr>
          <w:rFonts w:hint="eastAsia" w:eastAsia="宋体" w:cs="宋体"/>
          <w:color w:val="auto"/>
          <w:sz w:val="21"/>
          <w:szCs w:val="21"/>
          <w:highlight w:val="none"/>
          <w:lang w:eastAsia="zh-CN"/>
        </w:rPr>
        <w:t xml:space="preserve">）其他法律、行政法规规定的不适用信用承诺的情形。</w:t>
      </w:r>
      <w:r/>
    </w:p>
    <w:p>
      <w:pPr>
        <w:pStyle w:val="969"/>
        <w:ind w:firstLine="0"/>
        <w:rPr>
          <w:rFonts w:eastAsia="宋体" w:cs="宋体"/>
          <w:color w:val="auto"/>
          <w:sz w:val="21"/>
          <w:szCs w:val="21"/>
          <w:highlight w:val="none"/>
          <w:lang w:eastAsia="zh-CN"/>
        </w:rPr>
      </w:pPr>
      <w:r>
        <w:rPr>
          <w:rFonts w:hint="eastAsia" w:eastAsia="宋体" w:cs="宋体"/>
          <w:color w:val="auto"/>
          <w:sz w:val="21"/>
          <w:szCs w:val="21"/>
          <w:highlight w:val="none"/>
          <w:lang w:eastAsia="zh-CN"/>
        </w:rPr>
        <w:t xml:space="preserve">供应商对信用承诺内容的真实性、合法性、有效性负责。如作出虚假信用承诺，视同为</w:t>
      </w:r>
      <w:r>
        <w:rPr>
          <w:rFonts w:eastAsia="宋体" w:cs="Calibri"/>
          <w:color w:val="auto"/>
          <w:sz w:val="21"/>
          <w:szCs w:val="21"/>
          <w:highlight w:val="none"/>
          <w:lang w:eastAsia="zh-CN"/>
        </w:rPr>
        <w:t xml:space="preserve">“</w:t>
      </w:r>
      <w:r>
        <w:rPr>
          <w:rFonts w:hint="eastAsia" w:eastAsia="宋体" w:cs="宋体"/>
          <w:color w:val="auto"/>
          <w:sz w:val="21"/>
          <w:szCs w:val="21"/>
          <w:highlight w:val="none"/>
          <w:lang w:eastAsia="zh-CN"/>
        </w:rPr>
        <w:t xml:space="preserve">提供虚假材料谋取中标、成交</w:t>
      </w:r>
      <w:r>
        <w:rPr>
          <w:rFonts w:eastAsia="宋体" w:cs="Calibri"/>
          <w:color w:val="auto"/>
          <w:sz w:val="21"/>
          <w:szCs w:val="21"/>
          <w:highlight w:val="none"/>
          <w:lang w:eastAsia="zh-CN"/>
        </w:rPr>
        <w:t xml:space="preserve">”</w:t>
      </w:r>
      <w:r>
        <w:rPr>
          <w:rFonts w:hint="eastAsia" w:eastAsia="宋体" w:cs="宋体"/>
          <w:color w:val="auto"/>
          <w:sz w:val="21"/>
          <w:szCs w:val="21"/>
          <w:highlight w:val="none"/>
          <w:lang w:eastAsia="zh-CN"/>
        </w:rPr>
        <w:t xml:space="preserve">的违法行为。</w:t>
      </w:r>
      <w:r/>
    </w:p>
    <w:p>
      <w:pPr>
        <w:pStyle w:val="891"/>
        <w:spacing w:line="360" w:lineRule="auto"/>
        <w:rPr>
          <w:color w:val="auto"/>
          <w:highlight w:val="none"/>
          <w:lang w:val="zh-CN"/>
        </w:rPr>
      </w:pPr>
      <w:r>
        <w:rPr>
          <w:color w:val="auto"/>
          <w:highlight w:val="none"/>
          <w:lang w:val="zh-CN"/>
        </w:rPr>
      </w:r>
      <w:r/>
    </w:p>
    <w:p>
      <w:pPr>
        <w:spacing w:line="360" w:lineRule="auto"/>
        <w:rPr>
          <w:rFonts w:ascii="宋体" w:hAnsi="宋体"/>
          <w:b/>
          <w:bCs/>
          <w:color w:val="auto"/>
          <w:highlight w:val="none"/>
        </w:rPr>
      </w:pPr>
      <w:r>
        <w:rPr>
          <w:rFonts w:ascii="宋体" w:hAnsi="宋体"/>
          <w:b/>
          <w:bCs/>
          <w:color w:val="auto"/>
          <w:highlight w:val="none"/>
        </w:rPr>
        <w:br w:type="page" w:clear="all"/>
      </w:r>
      <w:r/>
    </w:p>
    <w:p>
      <w:pP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jc w:val="center"/>
        <w:spacing w:line="360" w:lineRule="auto"/>
        <w:widowControl/>
        <w:rPr>
          <w:rFonts w:ascii="宋体" w:hAnsi="宋体"/>
          <w:color w:val="auto"/>
          <w:highlight w:val="none"/>
        </w:rPr>
      </w:pPr>
      <w:r>
        <w:rPr>
          <w:rFonts w:ascii="宋体" w:hAnsi="宋体"/>
          <w:b/>
          <w:bCs/>
          <w:color w:val="auto"/>
          <w:highlight w:val="none"/>
        </w:rPr>
        <w:t xml:space="preserve">单位负责人、公司控股关系及公司管理关系释义：</w:t>
      </w:r>
      <w:r/>
    </w:p>
    <w:p>
      <w:pPr>
        <w:ind w:firstLine="420"/>
        <w:spacing w:line="360" w:lineRule="auto"/>
        <w:rPr>
          <w:rFonts w:ascii="宋体" w:hAnsi="宋体"/>
          <w:color w:val="auto"/>
          <w:highlight w:val="none"/>
        </w:rPr>
      </w:pPr>
      <w:r>
        <w:rPr>
          <w:rFonts w:hint="eastAsia" w:ascii="宋体" w:hAnsi="宋体" w:cs="宋体"/>
          <w:b/>
          <w:bCs/>
          <w:color w:val="auto"/>
          <w:highlight w:val="none"/>
        </w:rPr>
        <w:t xml:space="preserve">①</w:t>
      </w:r>
      <w:r>
        <w:rPr>
          <w:rFonts w:ascii="宋体" w:hAnsi="宋体"/>
          <w:b/>
          <w:bCs/>
          <w:color w:val="auto"/>
          <w:highlight w:val="none"/>
        </w:rPr>
        <w:t xml:space="preserve">单位负责人：</w:t>
      </w:r>
      <w:r>
        <w:rPr>
          <w:rFonts w:ascii="宋体" w:hAnsi="宋体"/>
          <w:color w:val="auto"/>
          <w:highlight w:val="none"/>
        </w:rPr>
        <w:t xml:space="preserve">是指 </w:t>
      </w:r>
      <w:r>
        <w:rPr>
          <w:rFonts w:ascii="宋体" w:hAnsi="宋体"/>
          <w:b/>
          <w:bCs/>
          <w:color w:val="auto"/>
          <w:highlight w:val="none"/>
        </w:rPr>
        <w:t xml:space="preserve">A </w:t>
      </w:r>
      <w:r>
        <w:rPr>
          <w:rFonts w:ascii="宋体" w:hAnsi="宋体"/>
          <w:b/>
          <w:bCs/>
          <w:color w:val="auto"/>
          <w:highlight w:val="none"/>
          <w:u w:val="single"/>
        </w:rPr>
        <w:t xml:space="preserve">单位法定代表人</w:t>
      </w:r>
      <w:r>
        <w:rPr>
          <w:rFonts w:ascii="宋体" w:hAnsi="宋体"/>
          <w:color w:val="auto"/>
          <w:highlight w:val="none"/>
        </w:rPr>
        <w:t xml:space="preserve">或者 </w:t>
      </w:r>
      <w:r>
        <w:rPr>
          <w:rFonts w:ascii="宋体" w:hAnsi="宋体"/>
          <w:b/>
          <w:bCs/>
          <w:color w:val="auto"/>
          <w:highlight w:val="none"/>
        </w:rPr>
        <w:t xml:space="preserve">B </w:t>
      </w:r>
      <w:r>
        <w:rPr>
          <w:rFonts w:ascii="宋体" w:hAnsi="宋体"/>
          <w:b/>
          <w:bCs/>
          <w:color w:val="auto"/>
          <w:highlight w:val="none"/>
          <w:u w:val="single"/>
        </w:rPr>
        <w:t xml:space="preserve">法律、行政法规规定代表单位行使职</w:t>
      </w:r>
      <w:r>
        <w:rPr>
          <w:rFonts w:ascii="宋体" w:hAnsi="宋体"/>
          <w:b/>
          <w:bCs/>
          <w:color w:val="auto"/>
          <w:highlight w:val="none"/>
        </w:rPr>
        <w:t xml:space="preserve"> </w:t>
      </w:r>
      <w:r>
        <w:rPr>
          <w:rFonts w:ascii="宋体" w:hAnsi="宋体"/>
          <w:b/>
          <w:bCs/>
          <w:color w:val="auto"/>
          <w:highlight w:val="none"/>
          <w:u w:val="single"/>
        </w:rPr>
        <w:t xml:space="preserve">权的主要负责人。</w:t>
      </w:r>
      <w:r/>
    </w:p>
    <w:p>
      <w:pPr>
        <w:ind w:firstLine="420"/>
        <w:spacing w:line="360" w:lineRule="auto"/>
        <w:rPr>
          <w:rFonts w:ascii="宋体" w:hAnsi="宋体"/>
          <w:color w:val="auto"/>
          <w:highlight w:val="none"/>
        </w:rPr>
      </w:pPr>
      <w:r>
        <w:rPr>
          <w:rFonts w:ascii="宋体" w:hAnsi="宋体"/>
          <w:b/>
          <w:bCs/>
          <w:color w:val="auto"/>
          <w:highlight w:val="none"/>
        </w:rPr>
        <w:t xml:space="preserve">A：所谓法定代表人：</w:t>
      </w:r>
      <w:r>
        <w:rPr>
          <w:rFonts w:ascii="宋体" w:hAnsi="宋体"/>
          <w:color w:val="auto"/>
          <w:highlight w:val="none"/>
        </w:rPr>
        <w:t xml:space="preserve">是指由法律或者法人组织章程规定，代表法人对外行使民事 权利、履行民事义务的负责人。如《公司法》规定，公司法定代表人依照公司章程的规 定由董事长、执行董事或者经理担任；《中华人民共和国全民所有制工业企业法》（以 下简称《全民所有制工业企业法》）规定，厂长是企业的法定代表人；国家机关的最高 行政官员是机关法人的法定代表人等。</w:t>
      </w:r>
      <w:r/>
    </w:p>
    <w:p>
      <w:pPr>
        <w:ind w:firstLine="420"/>
        <w:spacing w:line="360" w:lineRule="auto"/>
        <w:rPr>
          <w:rFonts w:ascii="宋体" w:hAnsi="宋体"/>
          <w:color w:val="auto"/>
          <w:highlight w:val="none"/>
        </w:rPr>
      </w:pPr>
      <w:r>
        <w:rPr>
          <w:rFonts w:ascii="宋体" w:hAnsi="宋体"/>
          <w:b/>
          <w:bCs/>
          <w:color w:val="auto"/>
          <w:highlight w:val="none"/>
        </w:rPr>
        <w:t xml:space="preserve">B：所谓法律、行政法规规定代表单位行使职权的主要负责人：</w:t>
      </w:r>
      <w:r>
        <w:rPr>
          <w:rFonts w:ascii="宋体" w:hAnsi="宋体"/>
          <w:color w:val="auto"/>
          <w:highlight w:val="none"/>
        </w:rPr>
        <w:t xml:space="preserve">是指除法定代表人 以外，法律、行政法规规定的代表单位行使职权的主要负责人。如个人独资企业的投资 人，代表合伙企业执行合伙企业事务的合伙人等。</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hint="eastAsia" w:ascii="宋体" w:hAnsi="宋体" w:cs="宋体"/>
          <w:b/>
          <w:bCs/>
          <w:color w:val="auto"/>
          <w:highlight w:val="none"/>
        </w:rPr>
        <w:t xml:space="preserve">②</w:t>
      </w:r>
      <w:r>
        <w:rPr>
          <w:rFonts w:ascii="宋体" w:hAnsi="宋体"/>
          <w:b/>
          <w:bCs/>
          <w:color w:val="auto"/>
          <w:highlight w:val="none"/>
        </w:rPr>
        <w:t xml:space="preserve">控股关系：</w:t>
      </w:r>
      <w:r>
        <w:rPr>
          <w:rFonts w:ascii="宋体" w:hAnsi="宋体"/>
          <w:color w:val="auto"/>
          <w:highlight w:val="none"/>
        </w:rPr>
        <w:t xml:space="preserve">政府采购法实施条例所谓控股关系是指单位或个人股东的控股关系。 控股的含义：根据《中华人民共和国公司法》第二百一十六条规定：“本法相关用语的 含义：</w:t>
      </w:r>
      <w:r>
        <w:rPr>
          <w:rFonts w:ascii="宋体" w:hAnsi="宋体"/>
          <w:b/>
          <w:bCs/>
          <w:color w:val="auto"/>
          <w:highlight w:val="none"/>
        </w:rPr>
        <w:t xml:space="preserve">（二）控股股东，是指 A </w:t>
      </w:r>
      <w:r>
        <w:rPr>
          <w:rFonts w:ascii="宋体" w:hAnsi="宋体"/>
          <w:b/>
          <w:bCs/>
          <w:color w:val="auto"/>
          <w:highlight w:val="none"/>
          <w:u w:val="single"/>
        </w:rPr>
        <w:t xml:space="preserve">其出资额占有限责任公司资本总额百分之五十以上或者 其持有的股份占股份有限公司股本总额百分之五十以上的股东</w:t>
      </w:r>
      <w:r>
        <w:rPr>
          <w:rFonts w:ascii="宋体" w:hAnsi="宋体"/>
          <w:b/>
          <w:bCs/>
          <w:color w:val="auto"/>
          <w:highlight w:val="none"/>
        </w:rPr>
        <w:t xml:space="preserve">；B </w:t>
      </w:r>
      <w:r>
        <w:rPr>
          <w:rFonts w:ascii="宋体" w:hAnsi="宋体"/>
          <w:b/>
          <w:bCs/>
          <w:color w:val="auto"/>
          <w:highlight w:val="none"/>
          <w:u w:val="single"/>
        </w:rPr>
        <w:t xml:space="preserve">出资额或者持有股份</w:t>
      </w:r>
      <w:r>
        <w:rPr>
          <w:rFonts w:ascii="宋体" w:hAnsi="宋体"/>
          <w:b/>
          <w:bCs/>
          <w:color w:val="auto"/>
          <w:highlight w:val="none"/>
        </w:rPr>
        <w:t xml:space="preserve"> </w:t>
      </w:r>
      <w:r>
        <w:rPr>
          <w:rFonts w:ascii="宋体" w:hAnsi="宋体"/>
          <w:b/>
          <w:bCs/>
          <w:color w:val="auto"/>
          <w:highlight w:val="none"/>
          <w:u w:val="single"/>
        </w:rPr>
        <w:t xml:space="preserve">的比例虽然不足百分之五十，但依其出资额或者持有的股份所享有的表决权已足以对股</w:t>
      </w:r>
      <w:r>
        <w:rPr>
          <w:rFonts w:ascii="宋体" w:hAnsi="宋体"/>
          <w:b/>
          <w:bCs/>
          <w:color w:val="auto"/>
          <w:highlight w:val="none"/>
        </w:rPr>
        <w:t xml:space="preserve"> </w:t>
      </w:r>
      <w:r>
        <w:rPr>
          <w:rFonts w:ascii="宋体" w:hAnsi="宋体"/>
          <w:b/>
          <w:bCs/>
          <w:color w:val="auto"/>
          <w:highlight w:val="none"/>
          <w:u w:val="single"/>
        </w:rPr>
        <w:t xml:space="preserve">东会、股东大会的决议产生重大影响的股东</w:t>
      </w:r>
      <w:r>
        <w:rPr>
          <w:rFonts w:ascii="宋体" w:hAnsi="宋体"/>
          <w:color w:val="auto"/>
          <w:highlight w:val="none"/>
        </w:rPr>
        <w:t xml:space="preserve">”。实践中，一般对 A 所述情形称为绝对控 股，B 所述情形称为相对控股，政府采购法实施条例所称“控股”包括绝对控股和相对 控股。</w:t>
      </w:r>
      <w:r/>
    </w:p>
    <w:p>
      <w:pPr>
        <w:ind w:firstLine="420"/>
        <w:spacing w:line="360" w:lineRule="auto"/>
        <w:rPr>
          <w:rFonts w:ascii="宋体" w:hAnsi="宋体"/>
          <w:color w:val="auto"/>
          <w:highlight w:val="none"/>
        </w:rPr>
      </w:pPr>
      <w:r>
        <w:rPr>
          <w:rFonts w:hint="eastAsia" w:ascii="宋体" w:hAnsi="宋体" w:cs="宋体"/>
          <w:b/>
          <w:bCs/>
          <w:color w:val="auto"/>
          <w:highlight w:val="none"/>
        </w:rPr>
        <w:t xml:space="preserve">③</w:t>
      </w:r>
      <w:r>
        <w:rPr>
          <w:rFonts w:ascii="宋体" w:hAnsi="宋体"/>
          <w:b/>
          <w:bCs/>
          <w:color w:val="auto"/>
          <w:highlight w:val="none"/>
        </w:rPr>
        <w:t xml:space="preserve">管理关系：</w:t>
      </w:r>
      <w:r>
        <w:rPr>
          <w:rFonts w:ascii="宋体" w:hAnsi="宋体"/>
          <w:color w:val="auto"/>
          <w:highlight w:val="none"/>
        </w:rPr>
        <w:t xml:space="preserve">政府采购法实施条例所谓管理关系是指不具有出资持股关系的其他 单位之间存在的管理与被管理关系，如一些上下级关系的事业单位和团体组织。</w:t>
      </w:r>
      <w:r/>
    </w:p>
    <w:p>
      <w:pPr>
        <w:ind w:right="633"/>
        <w:jc w:val="left"/>
        <w:spacing w:line="360" w:lineRule="auto"/>
        <w:shd w:val="clear" w:color="auto" w:fill="ffffff"/>
        <w:widowControl/>
        <w:rPr>
          <w:rFonts w:ascii="宋体" w:hAnsi="宋体"/>
          <w:b/>
          <w:color w:val="auto"/>
          <w:highlight w:val="none"/>
        </w:rPr>
      </w:pPr>
      <w:r>
        <w:rPr>
          <w:rFonts w:ascii="宋体" w:hAnsi="宋体"/>
          <w:b/>
          <w:color w:val="auto"/>
          <w:highlight w:val="none"/>
        </w:rPr>
      </w:r>
      <w:r/>
    </w:p>
    <w:p>
      <w:pPr>
        <w:ind w:firstLine="420"/>
        <w:spacing w:line="360" w:lineRule="auto"/>
        <w:widowControl/>
        <w:rPr>
          <w:color w:val="auto"/>
          <w:highlight w:val="none"/>
        </w:rPr>
      </w:pPr>
      <w:r>
        <w:rPr>
          <w:color w:val="auto"/>
          <w:highlight w:val="none"/>
        </w:rPr>
      </w:r>
      <w:r/>
    </w:p>
    <w:p>
      <w:pPr>
        <w:ind w:firstLine="420"/>
        <w:spacing w:line="360" w:lineRule="auto"/>
        <w:widowControl/>
        <w:rPr>
          <w:color w:val="auto"/>
          <w:highlight w:val="none"/>
        </w:rPr>
      </w:pPr>
      <w:r>
        <w:rPr>
          <w:color w:val="auto"/>
          <w:highlight w:val="none"/>
        </w:rPr>
      </w:r>
      <w:r/>
    </w:p>
    <w:p>
      <w:pPr>
        <w:ind w:firstLine="420"/>
        <w:spacing w:line="360" w:lineRule="auto"/>
        <w:widowControl/>
        <w:rPr>
          <w:color w:val="auto"/>
          <w:highlight w:val="none"/>
        </w:rPr>
      </w:pPr>
      <w:r>
        <w:rPr>
          <w:color w:val="auto"/>
          <w:highlight w:val="none"/>
        </w:rPr>
      </w:r>
      <w:r/>
    </w:p>
    <w:p>
      <w:pPr>
        <w:ind w:right="633"/>
        <w:jc w:val="left"/>
        <w:spacing w:line="360" w:lineRule="auto"/>
        <w:shd w:val="clear" w:color="auto" w:fill="ffffff"/>
        <w:widowControl/>
        <w:rPr>
          <w:rFonts w:ascii="宋体" w:hAnsi="宋体"/>
          <w:b/>
          <w:color w:val="auto"/>
          <w:highlight w:val="none"/>
          <w:lang w:val="zh-CN"/>
        </w:rPr>
      </w:pPr>
      <w:r>
        <w:rPr>
          <w:rFonts w:ascii="宋体" w:hAnsi="宋体"/>
          <w:b/>
          <w:color w:val="auto"/>
          <w:highlight w:val="none"/>
          <w:lang w:val="zh-CN"/>
        </w:rPr>
      </w:r>
      <w:r/>
    </w:p>
    <w:p>
      <w:pPr>
        <w:spacing w:line="360" w:lineRule="auto"/>
        <w:rPr>
          <w:color w:val="auto"/>
          <w:highlight w:val="none"/>
          <w:lang w:val="zh-CN"/>
        </w:rPr>
      </w:pPr>
      <w:r>
        <w:rPr>
          <w:rFonts w:ascii="宋体" w:hAnsi="宋体"/>
          <w:b/>
          <w:color w:val="auto"/>
          <w:highlight w:val="none"/>
          <w:lang w:val="zh-CN"/>
        </w:rPr>
        <w:br w:type="page" w:clear="all"/>
      </w:r>
      <w:r/>
    </w:p>
    <w:p>
      <w:pPr>
        <w:spacing w:line="360" w:lineRule="auto"/>
        <w:rPr>
          <w:color w:val="auto"/>
          <w:highlight w:val="none"/>
          <w:lang w:val="zh-CN"/>
        </w:rPr>
      </w:pPr>
      <w:r>
        <w:rPr>
          <w:color w:val="auto"/>
          <w:highlight w:val="none"/>
          <w:lang w:val="zh-CN"/>
        </w:rPr>
      </w:r>
      <w:r/>
    </w:p>
    <w:p>
      <w:pPr>
        <w:pStyle w:val="876"/>
        <w:jc w:val="left"/>
        <w:spacing w:before="0" w:after="0"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附件十</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val="zh-CN"/>
        </w:rPr>
        <w:t xml:space="preserve">、 其他</w:t>
      </w:r>
      <w:bookmarkEnd w:id="82"/>
      <w:r/>
      <w:r/>
    </w:p>
    <w:p>
      <w:pPr>
        <w:pStyle w:val="891"/>
        <w:ind w:firstLine="0"/>
        <w:spacing w:line="360" w:lineRule="auto"/>
        <w:rPr>
          <w:b/>
          <w:bCs/>
          <w:color w:val="auto"/>
          <w:highlight w:val="none"/>
          <w:lang w:val="zh-CN"/>
        </w:rPr>
      </w:pPr>
      <w:r>
        <w:rPr>
          <w:rFonts w:hint="eastAsia"/>
          <w:b/>
          <w:bCs/>
          <w:color w:val="auto"/>
          <w:highlight w:val="none"/>
          <w:lang w:val="zh-CN"/>
        </w:rPr>
        <w:t xml:space="preserve">（各投标供应商根据招标文件规定的打分细则对应提供相关证明材料等，格式自拟）</w:t>
      </w:r>
      <w:r/>
    </w:p>
    <w:p>
      <w:pPr>
        <w:pStyle w:val="891"/>
        <w:ind w:firstLine="0"/>
        <w:spacing w:line="360" w:lineRule="auto"/>
        <w:rPr>
          <w:color w:val="auto"/>
          <w:highlight w:val="none"/>
        </w:rPr>
      </w:pPr>
      <w:r>
        <w:rPr>
          <w:color w:val="auto"/>
          <w:highlight w:val="none"/>
        </w:rPr>
      </w:r>
      <w:r/>
    </w:p>
    <w:p>
      <w:pPr>
        <w:pStyle w:val="891"/>
        <w:ind w:firstLine="0"/>
        <w:spacing w:line="360" w:lineRule="auto"/>
        <w:rPr>
          <w:color w:val="auto"/>
          <w:highlight w:val="none"/>
        </w:rPr>
      </w:pPr>
      <w:r>
        <w:rPr>
          <w:color w:val="auto"/>
          <w:highlight w:val="none"/>
        </w:rPr>
      </w:r>
      <w:r/>
    </w:p>
    <w:p>
      <w:pPr>
        <w:pStyle w:val="891"/>
        <w:ind w:firstLine="0"/>
        <w:spacing w:line="360" w:lineRule="auto"/>
        <w:rPr>
          <w:color w:val="auto"/>
          <w:highlight w:val="none"/>
        </w:rPr>
      </w:pPr>
      <w:r>
        <w:rPr>
          <w:color w:val="auto"/>
          <w:highlight w:val="none"/>
        </w:rPr>
      </w:r>
      <w:r/>
    </w:p>
    <w:p>
      <w:pPr>
        <w:pStyle w:val="891"/>
        <w:ind w:firstLine="0"/>
        <w:spacing w:line="360" w:lineRule="auto"/>
        <w:rPr>
          <w:color w:val="auto"/>
          <w:highlight w:val="none"/>
        </w:rPr>
      </w:pPr>
      <w:r>
        <w:rPr>
          <w:color w:val="auto"/>
          <w:highlight w:val="none"/>
        </w:rPr>
      </w:r>
      <w:r/>
    </w:p>
    <w:p>
      <w:pPr>
        <w:pStyle w:val="891"/>
        <w:spacing w:line="360" w:lineRule="auto"/>
        <w:rPr>
          <w:color w:val="auto"/>
          <w:highlight w:val="none"/>
        </w:rPr>
      </w:pPr>
      <w:r>
        <w:rPr>
          <w:color w:val="auto"/>
          <w:highlight w:val="none"/>
        </w:rPr>
      </w:r>
      <w:r/>
    </w:p>
    <w:p>
      <w:pPr>
        <w:pStyle w:val="1084"/>
        <w:ind w:firstLine="480"/>
        <w:rPr>
          <w:color w:val="auto"/>
          <w:highlight w:val="none"/>
          <w:lang w:val="zh-CN"/>
        </w:rPr>
      </w:pPr>
      <w:r>
        <w:rPr>
          <w:color w:val="auto"/>
          <w:highlight w:val="none"/>
          <w:lang w:val="zh-CN"/>
        </w:rPr>
      </w:r>
      <w:r/>
    </w:p>
    <w:p>
      <w:pPr>
        <w:spacing w:line="360" w:lineRule="auto"/>
        <w:rPr>
          <w:color w:val="auto"/>
          <w:highlight w:val="none"/>
          <w:lang w:val="zh-CN"/>
        </w:rPr>
      </w:pPr>
      <w:r>
        <w:rPr>
          <w:color w:val="auto"/>
          <w:highlight w:val="none"/>
          <w:lang w:val="zh-CN"/>
        </w:rPr>
      </w:r>
      <w:r/>
    </w:p>
    <w:p>
      <w:pPr>
        <w:pStyle w:val="1084"/>
        <w:ind w:firstLine="480"/>
        <w:rPr>
          <w:color w:val="auto"/>
          <w:highlight w:val="none"/>
          <w:lang w:val="zh-CN"/>
        </w:rPr>
      </w:pPr>
      <w:r>
        <w:rPr>
          <w:color w:val="auto"/>
          <w:highlight w:val="none"/>
          <w:lang w:val="zh-CN"/>
        </w:rPr>
      </w:r>
      <w:r/>
    </w:p>
    <w:p>
      <w:pPr>
        <w:spacing w:line="360" w:lineRule="auto"/>
        <w:rPr>
          <w:color w:val="auto"/>
          <w:highlight w:val="none"/>
          <w:lang w:val="zh-CN"/>
        </w:rPr>
      </w:pPr>
      <w:r>
        <w:rPr>
          <w:color w:val="auto"/>
          <w:highlight w:val="none"/>
          <w:lang w:val="zh-CN"/>
        </w:rPr>
      </w:r>
      <w:r/>
    </w:p>
    <w:p>
      <w:pPr>
        <w:pStyle w:val="1084"/>
        <w:ind w:firstLine="480"/>
        <w:rPr>
          <w:color w:val="auto"/>
          <w:highlight w:val="none"/>
          <w:lang w:val="zh-CN"/>
        </w:rPr>
      </w:pPr>
      <w:r>
        <w:rPr>
          <w:color w:val="auto"/>
          <w:highlight w:val="none"/>
          <w:lang w:val="zh-CN"/>
        </w:rPr>
      </w:r>
      <w:r/>
    </w:p>
    <w:p>
      <w:pPr>
        <w:pStyle w:val="876"/>
        <w:jc w:val="left"/>
        <w:spacing w:before="0" w:after="0" w:line="360" w:lineRule="auto"/>
        <w:rPr>
          <w:rFonts w:ascii="宋体" w:hAnsi="宋体" w:eastAsia="宋体" w:cs="宋体"/>
          <w:color w:val="auto"/>
          <w:sz w:val="24"/>
          <w:szCs w:val="24"/>
          <w:highlight w:val="none"/>
          <w:lang w:val="zh-CN"/>
        </w:rPr>
      </w:pPr>
      <w:r/>
      <w:bookmarkStart w:id="83" w:name="_Toc24351"/>
      <w:r>
        <w:rPr>
          <w:rFonts w:hint="eastAsia" w:ascii="宋体" w:hAnsi="宋体" w:eastAsia="宋体" w:cs="宋体"/>
          <w:color w:val="auto"/>
          <w:sz w:val="24"/>
          <w:szCs w:val="24"/>
          <w:highlight w:val="none"/>
          <w:lang w:val="zh-CN"/>
        </w:rPr>
        <w:t xml:space="preserve">附件十</w:t>
      </w: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实施</w:t>
      </w:r>
      <w:r>
        <w:rPr>
          <w:rFonts w:hint="eastAsia" w:ascii="宋体" w:hAnsi="宋体" w:eastAsia="宋体" w:cs="宋体"/>
          <w:color w:val="auto"/>
          <w:sz w:val="24"/>
          <w:szCs w:val="24"/>
          <w:highlight w:val="none"/>
          <w:lang w:val="zh-CN"/>
        </w:rPr>
        <w:t xml:space="preserve">方案（格式自拟）</w:t>
      </w:r>
      <w:bookmarkEnd w:id="83"/>
      <w:r/>
      <w:r/>
    </w:p>
    <w:p>
      <w:pPr>
        <w:pStyle w:val="969"/>
        <w:ind w:firstLine="482"/>
        <w:rPr>
          <w:rFonts w:ascii="Times New Roman" w:hAnsi="Times New Roman" w:eastAsia="宋体"/>
          <w:b/>
          <w:color w:val="auto"/>
          <w:highlight w:val="none"/>
          <w:lang w:val="zh-CN"/>
        </w:rPr>
      </w:pPr>
      <w:r>
        <w:rPr>
          <w:rFonts w:ascii="Times New Roman" w:hAnsi="Times New Roman" w:eastAsia="宋体"/>
          <w:b/>
          <w:color w:val="auto"/>
          <w:highlight w:val="none"/>
          <w:lang w:val="zh-CN"/>
        </w:rPr>
      </w:r>
      <w:r/>
    </w:p>
    <w:p>
      <w:pPr>
        <w:pStyle w:val="969"/>
        <w:ind w:firstLine="482"/>
        <w:rPr>
          <w:rFonts w:ascii="Times New Roman" w:hAnsi="Times New Roman" w:eastAsia="宋体"/>
          <w:b/>
          <w:color w:val="auto"/>
          <w:highlight w:val="none"/>
          <w:lang w:val="zh-CN"/>
        </w:rPr>
      </w:pPr>
      <w:r>
        <w:rPr>
          <w:rFonts w:ascii="Times New Roman" w:hAnsi="Times New Roman" w:eastAsia="宋体"/>
          <w:b/>
          <w:color w:val="auto"/>
          <w:highlight w:val="none"/>
          <w:lang w:val="zh-CN"/>
        </w:rPr>
      </w:r>
      <w:r/>
    </w:p>
    <w:p>
      <w:pPr>
        <w:pStyle w:val="969"/>
        <w:ind w:firstLine="482"/>
        <w:rPr>
          <w:rFonts w:ascii="Times New Roman" w:hAnsi="Times New Roman" w:eastAsia="宋体"/>
          <w:b/>
          <w:color w:val="auto"/>
          <w:highlight w:val="none"/>
          <w:lang w:val="zh-CN"/>
        </w:rPr>
      </w:pPr>
      <w:r>
        <w:rPr>
          <w:rFonts w:ascii="Times New Roman" w:hAnsi="Times New Roman" w:eastAsia="宋体"/>
          <w:b/>
          <w:color w:val="auto"/>
          <w:highlight w:val="none"/>
          <w:lang w:val="zh-CN"/>
        </w:rPr>
      </w:r>
      <w:r/>
    </w:p>
    <w:p>
      <w:pPr>
        <w:pStyle w:val="969"/>
        <w:ind w:firstLine="482"/>
        <w:rPr>
          <w:rFonts w:ascii="Times New Roman" w:hAnsi="Times New Roman" w:eastAsia="宋体"/>
          <w:b/>
          <w:color w:val="auto"/>
          <w:highlight w:val="none"/>
          <w:lang w:val="zh-CN"/>
        </w:rPr>
      </w:pPr>
      <w:r>
        <w:rPr>
          <w:rFonts w:ascii="Times New Roman" w:hAnsi="Times New Roman" w:eastAsia="宋体"/>
          <w:b/>
          <w:color w:val="auto"/>
          <w:highlight w:val="none"/>
          <w:lang w:val="zh-CN"/>
        </w:rPr>
      </w:r>
      <w:r/>
    </w:p>
    <w:p>
      <w:pPr>
        <w:pStyle w:val="969"/>
        <w:ind w:firstLine="482"/>
        <w:rPr>
          <w:rFonts w:ascii="Times New Roman" w:hAnsi="Times New Roman" w:eastAsia="宋体"/>
          <w:b/>
          <w:color w:val="auto"/>
          <w:highlight w:val="none"/>
          <w:lang w:val="zh-CN"/>
        </w:rPr>
      </w:pPr>
      <w:r>
        <w:rPr>
          <w:rFonts w:ascii="Times New Roman" w:hAnsi="Times New Roman" w:eastAsia="宋体"/>
          <w:b/>
          <w:color w:val="auto"/>
          <w:highlight w:val="none"/>
          <w:lang w:val="zh-CN"/>
        </w:rPr>
      </w:r>
      <w:r/>
    </w:p>
    <w:p>
      <w:pPr>
        <w:pStyle w:val="969"/>
        <w:ind w:firstLine="482"/>
        <w:rPr>
          <w:rFonts w:ascii="Times New Roman" w:hAnsi="Times New Roman" w:eastAsia="宋体"/>
          <w:b/>
          <w:color w:val="auto"/>
          <w:highlight w:val="none"/>
          <w:lang w:val="zh-CN"/>
        </w:rPr>
      </w:pPr>
      <w:r>
        <w:rPr>
          <w:rFonts w:ascii="Times New Roman" w:hAnsi="Times New Roman" w:eastAsia="宋体"/>
          <w:b/>
          <w:color w:val="auto"/>
          <w:highlight w:val="none"/>
          <w:lang w:val="zh-CN"/>
        </w:rPr>
      </w:r>
      <w:r/>
    </w:p>
    <w:p>
      <w:pPr>
        <w:pStyle w:val="969"/>
        <w:ind w:firstLine="482"/>
        <w:rPr>
          <w:rFonts w:ascii="Times New Roman" w:hAnsi="Times New Roman" w:eastAsia="宋体"/>
          <w:b/>
          <w:color w:val="auto"/>
          <w:highlight w:val="none"/>
          <w:lang w:val="zh-CN"/>
        </w:rPr>
      </w:pPr>
      <w:r>
        <w:rPr>
          <w:rFonts w:ascii="Times New Roman" w:hAnsi="Times New Roman" w:eastAsia="宋体"/>
          <w:b/>
          <w:color w:val="auto"/>
          <w:highlight w:val="none"/>
          <w:lang w:val="zh-CN"/>
        </w:rPr>
      </w:r>
      <w:r/>
    </w:p>
    <w:p>
      <w:pPr>
        <w:pStyle w:val="898"/>
        <w:ind w:left="0" w:right="1470"/>
        <w:jc w:val="left"/>
        <w:spacing w:line="360" w:lineRule="auto"/>
        <w:rPr>
          <w:color w:val="auto"/>
          <w:highlight w:val="none"/>
          <w:lang w:val="zh-CN"/>
        </w:rPr>
      </w:pPr>
      <w:r>
        <w:rPr>
          <w:color w:val="auto"/>
          <w:highlight w:val="none"/>
          <w:lang w:val="zh-CN"/>
        </w:rPr>
      </w:r>
      <w:r/>
    </w:p>
    <w:p>
      <w:pPr>
        <w:spacing w:line="360" w:lineRule="auto"/>
        <w:rPr>
          <w:rFonts w:ascii="宋体" w:hAnsi="宋体" w:cs="宋体"/>
          <w:color w:val="auto"/>
          <w:sz w:val="24"/>
          <w:highlight w:val="none"/>
          <w:lang w:val="zh-CN"/>
        </w:rPr>
      </w:pPr>
      <w:r/>
      <w:bookmarkStart w:id="84" w:name="_Toc2342"/>
      <w:r>
        <w:rPr>
          <w:rFonts w:hint="eastAsia" w:ascii="宋体" w:hAnsi="宋体" w:cs="宋体"/>
          <w:color w:val="auto"/>
          <w:sz w:val="24"/>
          <w:highlight w:val="none"/>
          <w:lang w:val="zh-CN"/>
        </w:rPr>
        <w:br w:type="page" w:clear="all"/>
      </w:r>
      <w:r/>
    </w:p>
    <w:p>
      <w:pPr>
        <w:pStyle w:val="876"/>
        <w:jc w:val="left"/>
        <w:spacing w:before="0" w:after="0"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附件十</w:t>
      </w: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val="zh-CN"/>
        </w:rPr>
        <w:t xml:space="preserve">、中小企业声明函格式</w:t>
      </w:r>
      <w:bookmarkEnd w:id="84"/>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中</w:t>
      </w:r>
      <w:bookmarkStart w:id="90" w:name="_GoBack"/>
      <w:r/>
      <w:bookmarkEnd w:id="90"/>
      <w:r>
        <w:rPr>
          <w:rFonts w:hint="eastAsia" w:ascii="宋体" w:hAnsi="宋体" w:cs="宋体"/>
          <w:b/>
          <w:color w:val="auto"/>
          <w:szCs w:val="21"/>
          <w:highlight w:val="none"/>
        </w:rPr>
        <w:t xml:space="preserve">小企业声明函（服务）</w:t>
      </w:r>
      <w:r/>
    </w:p>
    <w:p>
      <w:pPr>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widowControl/>
        <w:rPr>
          <w:rFonts w:ascii="宋体" w:hAnsi="宋体"/>
          <w:color w:val="auto"/>
          <w:szCs w:val="22"/>
          <w:highlight w:val="none"/>
        </w:rPr>
      </w:pPr>
      <w:r>
        <w:rPr>
          <w:rFonts w:ascii="宋体" w:hAnsi="宋体"/>
          <w:color w:val="auto"/>
          <w:szCs w:val="22"/>
          <w:highlight w:val="none"/>
        </w:rPr>
        <w:t xml:space="preserve">本公司（联合体）郑重声明，根据《政府采购促进中小企业发展管理办法》（财库﹝2020﹞46 号）的规定，本公司（联合体）参加</w:t>
      </w:r>
      <w:r>
        <w:rPr>
          <w:rFonts w:ascii="宋体" w:hAnsi="宋体"/>
          <w:color w:val="auto"/>
          <w:szCs w:val="22"/>
          <w:highlight w:val="none"/>
          <w:u w:val="single"/>
        </w:rPr>
        <w:t xml:space="preserve">（单位名称）</w:t>
      </w:r>
      <w:r>
        <w:rPr>
          <w:rFonts w:ascii="宋体" w:hAnsi="宋体"/>
          <w:color w:val="auto"/>
          <w:szCs w:val="22"/>
          <w:highlight w:val="none"/>
        </w:rPr>
        <w:t xml:space="preserve">的</w:t>
      </w:r>
      <w:r>
        <w:rPr>
          <w:rFonts w:ascii="宋体" w:hAnsi="宋体"/>
          <w:color w:val="auto"/>
          <w:szCs w:val="22"/>
          <w:highlight w:val="none"/>
          <w:u w:val="single"/>
        </w:rPr>
        <w:t xml:space="preserve">（项目名称）</w:t>
      </w:r>
      <w:r>
        <w:rPr>
          <w:rFonts w:ascii="宋体" w:hAnsi="宋体"/>
          <w:color w:val="auto"/>
          <w:szCs w:val="22"/>
          <w:highlight w:val="none"/>
        </w:rPr>
        <w:t xml:space="preserve">采购活动，服务单位全部为符合政策要求的中小企业（或者：服务 全部由符合政策要求的中小企业承接）。相关企业（含联合体中的中小企业、签订标段意向协议的中小企业）的具体情况如下：</w:t>
      </w:r>
      <w:r/>
    </w:p>
    <w:p>
      <w:pPr>
        <w:ind w:firstLine="420"/>
        <w:spacing w:line="360" w:lineRule="auto"/>
        <w:widowControl/>
        <w:rPr>
          <w:rFonts w:ascii="宋体" w:hAnsi="宋体"/>
          <w:color w:val="auto"/>
          <w:szCs w:val="22"/>
          <w:highlight w:val="none"/>
        </w:rPr>
      </w:pPr>
      <w:r>
        <w:rPr>
          <w:rFonts w:ascii="宋体" w:hAnsi="宋体"/>
          <w:color w:val="auto"/>
          <w:szCs w:val="22"/>
          <w:highlight w:val="none"/>
        </w:rPr>
        <w:t xml:space="preserve">1. </w:t>
      </w:r>
      <w:r>
        <w:rPr>
          <w:rFonts w:ascii="宋体" w:hAnsi="宋体"/>
          <w:color w:val="auto"/>
          <w:szCs w:val="22"/>
          <w:highlight w:val="none"/>
          <w:u w:val="single"/>
        </w:rPr>
        <w:t xml:space="preserve">（标的名称）</w:t>
      </w:r>
      <w:r>
        <w:rPr>
          <w:rFonts w:ascii="宋体" w:hAnsi="宋体"/>
          <w:color w:val="auto"/>
          <w:szCs w:val="22"/>
          <w:highlight w:val="none"/>
        </w:rPr>
        <w:t xml:space="preserve">，属于</w:t>
      </w:r>
      <w:r>
        <w:rPr>
          <w:rFonts w:ascii="宋体" w:hAnsi="宋体"/>
          <w:color w:val="auto"/>
          <w:szCs w:val="22"/>
          <w:highlight w:val="none"/>
          <w:u w:val="single"/>
        </w:rPr>
        <w:t xml:space="preserve">（采购文件中明确的所属行业）</w:t>
      </w:r>
      <w:r>
        <w:rPr>
          <w:rFonts w:ascii="宋体" w:hAnsi="宋体"/>
          <w:color w:val="auto"/>
          <w:szCs w:val="22"/>
          <w:highlight w:val="none"/>
        </w:rPr>
        <w:t xml:space="preserve">； 承建（承接）企业为</w:t>
      </w:r>
      <w:r>
        <w:rPr>
          <w:rFonts w:ascii="宋体" w:hAnsi="宋体"/>
          <w:color w:val="auto"/>
          <w:szCs w:val="22"/>
          <w:highlight w:val="none"/>
          <w:u w:val="single"/>
        </w:rPr>
        <w:t xml:space="preserve">（企业名称）</w:t>
      </w:r>
      <w:r>
        <w:rPr>
          <w:rFonts w:ascii="宋体" w:hAnsi="宋体"/>
          <w:color w:val="auto"/>
          <w:szCs w:val="22"/>
          <w:highlight w:val="none"/>
        </w:rPr>
        <w:t xml:space="preserve">，从业人员 </w:t>
      </w:r>
      <w:r>
        <w:rPr>
          <w:rFonts w:ascii="宋体" w:hAnsi="宋体"/>
          <w:color w:val="auto"/>
          <w:szCs w:val="22"/>
          <w:highlight w:val="none"/>
          <w:u w:val="single"/>
        </w:rPr>
        <w:t xml:space="preserve">    </w:t>
      </w:r>
      <w:r>
        <w:rPr>
          <w:rFonts w:ascii="宋体" w:hAnsi="宋体"/>
          <w:color w:val="auto"/>
          <w:szCs w:val="22"/>
          <w:highlight w:val="none"/>
        </w:rPr>
        <w:t xml:space="preserve">人，营业收入为</w:t>
      </w:r>
      <w:r>
        <w:rPr>
          <w:rFonts w:ascii="宋体" w:hAnsi="宋体"/>
          <w:color w:val="auto"/>
          <w:szCs w:val="22"/>
          <w:highlight w:val="none"/>
          <w:u w:val="single"/>
        </w:rPr>
        <w:t xml:space="preserve">      </w:t>
      </w:r>
      <w:r>
        <w:rPr>
          <w:rFonts w:ascii="宋体" w:hAnsi="宋体"/>
          <w:color w:val="auto"/>
          <w:szCs w:val="22"/>
          <w:highlight w:val="none"/>
        </w:rPr>
        <w:t xml:space="preserve">万元，资产总额为</w:t>
      </w:r>
      <w:r>
        <w:rPr>
          <w:rFonts w:ascii="宋体" w:hAnsi="宋体"/>
          <w:color w:val="auto"/>
          <w:szCs w:val="22"/>
          <w:highlight w:val="none"/>
          <w:u w:val="single"/>
        </w:rPr>
        <w:t xml:space="preserve">        </w:t>
      </w:r>
      <w:r>
        <w:rPr>
          <w:rFonts w:ascii="宋体" w:hAnsi="宋体"/>
          <w:color w:val="auto"/>
          <w:szCs w:val="22"/>
          <w:highlight w:val="none"/>
        </w:rPr>
        <w:t xml:space="preserve">万元</w:t>
      </w:r>
      <w:r>
        <w:rPr>
          <w:rFonts w:ascii="宋体" w:hAnsi="宋体"/>
          <w:color w:val="auto"/>
          <w:szCs w:val="22"/>
          <w:highlight w:val="none"/>
          <w:vertAlign w:val="superscript"/>
        </w:rPr>
        <w:t xml:space="preserve">【1】</w:t>
      </w:r>
      <w:r>
        <w:rPr>
          <w:rFonts w:ascii="宋体" w:hAnsi="宋体"/>
          <w:color w:val="auto"/>
          <w:szCs w:val="22"/>
          <w:highlight w:val="none"/>
        </w:rPr>
        <w:t xml:space="preserve">，属于</w:t>
      </w:r>
      <w:r>
        <w:rPr>
          <w:rFonts w:ascii="宋体" w:hAnsi="宋体"/>
          <w:color w:val="auto"/>
          <w:szCs w:val="22"/>
          <w:highlight w:val="none"/>
          <w:u w:val="single"/>
        </w:rPr>
        <w:t xml:space="preserve">（中型企业、 小型企业、微型企业）</w:t>
      </w:r>
      <w:r>
        <w:rPr>
          <w:rFonts w:ascii="宋体" w:hAnsi="宋体"/>
          <w:color w:val="auto"/>
          <w:szCs w:val="22"/>
          <w:highlight w:val="none"/>
        </w:rPr>
        <w:t xml:space="preserve">；</w:t>
      </w:r>
      <w:r/>
    </w:p>
    <w:p>
      <w:pPr>
        <w:ind w:firstLine="525"/>
        <w:spacing w:line="360" w:lineRule="auto"/>
        <w:widowControl/>
        <w:rPr>
          <w:rFonts w:ascii="宋体" w:hAnsi="宋体"/>
          <w:color w:val="auto"/>
          <w:szCs w:val="22"/>
          <w:highlight w:val="none"/>
        </w:rPr>
      </w:pPr>
      <w:r>
        <w:rPr>
          <w:rFonts w:ascii="宋体" w:hAnsi="宋体"/>
          <w:color w:val="auto"/>
          <w:szCs w:val="22"/>
          <w:highlight w:val="none"/>
        </w:rPr>
        <w:t xml:space="preserve">……</w:t>
      </w:r>
      <w:r/>
    </w:p>
    <w:p>
      <w:pPr>
        <w:ind w:firstLine="525"/>
        <w:spacing w:line="360" w:lineRule="auto"/>
        <w:widowControl/>
        <w:rPr>
          <w:rFonts w:ascii="宋体" w:hAnsi="宋体"/>
          <w:color w:val="auto"/>
          <w:szCs w:val="22"/>
          <w:highlight w:val="none"/>
        </w:rPr>
      </w:pPr>
      <w:r>
        <w:rPr>
          <w:rFonts w:ascii="宋体" w:hAnsi="宋体"/>
          <w:color w:val="auto"/>
          <w:szCs w:val="22"/>
          <w:highlight w:val="none"/>
        </w:rPr>
        <w:t xml:space="preserve">以上企业，不属于大企业的分支机构，不存在控股股东为大企业的情形，也不存在与大企业的负责人为同一人的情 形。</w:t>
      </w:r>
      <w:r/>
    </w:p>
    <w:p>
      <w:pPr>
        <w:spacing w:line="360" w:lineRule="auto"/>
        <w:widowControl/>
        <w:rPr>
          <w:rFonts w:ascii="宋体" w:hAnsi="宋体"/>
          <w:color w:val="auto"/>
          <w:szCs w:val="22"/>
          <w:highlight w:val="none"/>
        </w:rPr>
      </w:pPr>
      <w:r>
        <w:rPr>
          <w:rFonts w:ascii="宋体" w:hAnsi="宋体"/>
          <w:color w:val="auto"/>
          <w:szCs w:val="22"/>
          <w:highlight w:val="none"/>
        </w:rPr>
        <w:t xml:space="preserve">本企业对上述声明内容的真实性负责。如有虚假，将依法承担相应责任。</w:t>
      </w:r>
      <w:r/>
    </w:p>
    <w:p>
      <w:pPr>
        <w:ind w:right="420"/>
        <w:jc w:val="right"/>
        <w:spacing w:line="360" w:lineRule="auto"/>
        <w:widowControl/>
        <w:rPr>
          <w:rFonts w:ascii="宋体" w:hAnsi="宋体"/>
          <w:color w:val="auto"/>
          <w:szCs w:val="22"/>
          <w:highlight w:val="none"/>
        </w:rPr>
      </w:pPr>
      <w:r>
        <w:rPr>
          <w:rFonts w:ascii="宋体" w:hAnsi="宋体"/>
          <w:color w:val="auto"/>
          <w:szCs w:val="22"/>
          <w:highlight w:val="none"/>
        </w:rPr>
        <w:t xml:space="preserve">企业名称（盖章）：</w:t>
      </w:r>
      <w:r/>
    </w:p>
    <w:p>
      <w:pPr>
        <w:ind w:right="840" w:firstLine="7140"/>
        <w:spacing w:line="360" w:lineRule="auto"/>
        <w:widowControl/>
        <w:rPr>
          <w:rFonts w:ascii="宋体" w:hAnsi="宋体"/>
          <w:color w:val="auto"/>
          <w:szCs w:val="22"/>
          <w:highlight w:val="none"/>
        </w:rPr>
      </w:pPr>
      <w:r>
        <w:rPr>
          <w:rFonts w:ascii="宋体" w:hAnsi="宋体"/>
          <w:color w:val="auto"/>
          <w:szCs w:val="22"/>
          <w:highlight w:val="none"/>
        </w:rPr>
        <w:t xml:space="preserve">日 期：</w:t>
      </w:r>
      <w:r/>
    </w:p>
    <w:p>
      <w:pPr>
        <w:ind w:firstLine="480"/>
        <w:jc w:val="left"/>
        <w:spacing w:line="360" w:lineRule="auto"/>
        <w:widowControl/>
        <w:rPr>
          <w:rFonts w:ascii="宋体" w:hAnsi="宋体"/>
          <w:color w:val="auto"/>
          <w:sz w:val="24"/>
          <w:szCs w:val="22"/>
          <w:highlight w:val="none"/>
          <w:u w:val="single"/>
        </w:rPr>
      </w:pPr>
      <w:r>
        <w:rPr>
          <w:rFonts w:ascii="宋体" w:hAnsi="宋体"/>
          <w:color w:val="auto"/>
          <w:sz w:val="24"/>
          <w:szCs w:val="22"/>
          <w:highlight w:val="none"/>
          <w:u w:val="single"/>
        </w:rPr>
        <w:t xml:space="preserve">                                  </w:t>
      </w:r>
      <w:r/>
    </w:p>
    <w:p>
      <w:pPr>
        <w:ind w:left="476" w:right="832"/>
        <w:spacing w:before="2" w:line="360" w:lineRule="auto"/>
        <w:widowControl/>
        <w:rPr>
          <w:rFonts w:ascii="宋体" w:hAnsi="宋体"/>
          <w:color w:val="auto"/>
          <w:szCs w:val="22"/>
          <w:highlight w:val="none"/>
        </w:rPr>
      </w:pPr>
      <w:r>
        <w:rPr>
          <w:rFonts w:ascii="宋体" w:hAnsi="宋体"/>
          <w:color w:val="auto"/>
          <w:szCs w:val="22"/>
          <w:highlight w:val="none"/>
        </w:rPr>
        <w:t xml:space="preserve">备注 1：从业人员、营业收入、资产总额填报上一年度数据，无上一年度数据的新成立企业可不填报。 </w:t>
      </w:r>
      <w:r/>
    </w:p>
    <w:p>
      <w:pPr>
        <w:jc w:val="center"/>
        <w:pageBreakBefore/>
        <w:spacing w:line="360" w:lineRule="auto"/>
        <w:rPr>
          <w:rStyle w:val="928"/>
          <w:rFonts w:ascii="微软雅黑" w:hAnsi="微软雅黑" w:eastAsia="微软雅黑"/>
          <w:color w:val="auto"/>
          <w:sz w:val="28"/>
          <w:szCs w:val="36"/>
          <w:highlight w:val="none"/>
        </w:rPr>
      </w:pPr>
      <w:r>
        <w:rPr>
          <w:rStyle w:val="928"/>
          <w:rFonts w:hint="eastAsia" w:ascii="微软雅黑" w:hAnsi="微软雅黑" w:eastAsia="微软雅黑"/>
          <w:color w:val="auto"/>
          <w:sz w:val="28"/>
          <w:szCs w:val="36"/>
          <w:highlight w:val="none"/>
        </w:rPr>
        <w:t xml:space="preserve">中小企业划型标准规定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一、根据《中华人民共和国中小企业促进法》和《国务院关于进一步促进中小企业发展的若干意见》</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国发〔</w:t>
      </w:r>
      <w:r>
        <w:rPr>
          <w:rFonts w:hint="eastAsia" w:ascii="宋体" w:hAnsi="宋体"/>
          <w:color w:val="auto"/>
          <w:szCs w:val="21"/>
          <w:highlight w:val="none"/>
        </w:rPr>
        <w:t xml:space="preserve">2009</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36</w:t>
      </w:r>
      <w:r>
        <w:rPr>
          <w:rFonts w:hint="eastAsia" w:ascii="宋体" w:hAnsi="宋体" w:cs="宋体"/>
          <w:color w:val="auto"/>
          <w:szCs w:val="21"/>
          <w:highlight w:val="none"/>
        </w:rPr>
        <w:t xml:space="preserve">号</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，制定本规定。</w:t>
      </w:r>
      <w:r>
        <w:rPr>
          <w:rFonts w:hint="eastAsia" w:ascii="宋体" w:hAnsi="宋体"/>
          <w:color w:val="auto"/>
          <w:szCs w:val="21"/>
          <w:highlight w:val="none"/>
        </w:rPr>
        <w:br/>
      </w:r>
      <w:r>
        <w:rPr>
          <w:rFonts w:hint="eastAsia" w:ascii="宋体" w:hAnsi="宋体" w:cs="宋体"/>
          <w:color w:val="auto"/>
          <w:szCs w:val="21"/>
          <w:highlight w:val="none"/>
        </w:rPr>
        <w:t xml:space="preserve">　　二、中小企业划分为中型、小型、微型三种类型，具体标准根据企业从业人员、营业收入、资产总额等指标，结合行业特点制定。</w:t>
      </w:r>
      <w:r>
        <w:rPr>
          <w:rFonts w:hint="eastAsia" w:ascii="宋体" w:hAnsi="宋体"/>
          <w:color w:val="auto"/>
          <w:szCs w:val="21"/>
          <w:highlight w:val="none"/>
        </w:rPr>
        <w:br/>
      </w:r>
      <w:r>
        <w:rPr>
          <w:rFonts w:hint="eastAsia" w:ascii="宋体" w:hAnsi="宋体" w:cs="宋体"/>
          <w:color w:val="auto"/>
          <w:szCs w:val="21"/>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auto"/>
          <w:szCs w:val="21"/>
          <w:highlight w:val="none"/>
        </w:rPr>
        <w:br/>
      </w:r>
      <w:r>
        <w:rPr>
          <w:rFonts w:hint="eastAsia" w:ascii="宋体" w:hAnsi="宋体" w:cs="宋体"/>
          <w:color w:val="auto"/>
          <w:szCs w:val="21"/>
          <w:highlight w:val="none"/>
        </w:rPr>
        <w:t xml:space="preserve">　　四、各行业划型标准为：</w:t>
      </w:r>
      <w:r>
        <w:rPr>
          <w:rFonts w:hint="eastAsia" w:ascii="宋体" w:hAnsi="宋体"/>
          <w:color w:val="auto"/>
          <w:szCs w:val="21"/>
          <w:highlight w:val="none"/>
        </w:rPr>
        <w:br/>
      </w:r>
      <w:r>
        <w:rPr>
          <w:rFonts w:hint="eastAsia" w:ascii="宋体" w:hAnsi="宋体" w:cs="宋体"/>
          <w:color w:val="auto"/>
          <w:szCs w:val="21"/>
          <w:highlight w:val="none"/>
        </w:rPr>
        <w:t xml:space="preserve">　　（一）农、林、牧、渔业。营业收入</w:t>
      </w:r>
      <w:r>
        <w:rPr>
          <w:rFonts w:hint="eastAsia" w:ascii="宋体" w:hAnsi="宋体"/>
          <w:color w:val="auto"/>
          <w:szCs w:val="21"/>
          <w:highlight w:val="none"/>
        </w:rPr>
        <w:t xml:space="preserve">20000</w:t>
      </w:r>
      <w:r>
        <w:rPr>
          <w:rFonts w:hint="eastAsia" w:ascii="宋体" w:hAnsi="宋体" w:cs="宋体"/>
          <w:color w:val="auto"/>
          <w:szCs w:val="21"/>
          <w:highlight w:val="none"/>
        </w:rPr>
        <w:t xml:space="preserve">万元以下的为中小微型企业。其中，营业收入</w:t>
      </w:r>
      <w:r>
        <w:rPr>
          <w:rFonts w:hint="eastAsia" w:ascii="宋体" w:hAnsi="宋体"/>
          <w:color w:val="auto"/>
          <w:szCs w:val="21"/>
          <w:highlight w:val="none"/>
        </w:rPr>
        <w:t xml:space="preserve">500</w:t>
      </w:r>
      <w:r>
        <w:rPr>
          <w:rFonts w:hint="eastAsia" w:ascii="宋体" w:hAnsi="宋体" w:cs="宋体"/>
          <w:color w:val="auto"/>
          <w:szCs w:val="21"/>
          <w:highlight w:val="none"/>
        </w:rPr>
        <w:t xml:space="preserve">万元及以上的为中型企业，营业收入</w:t>
      </w:r>
      <w:r>
        <w:rPr>
          <w:rFonts w:hint="eastAsia" w:ascii="宋体" w:hAnsi="宋体"/>
          <w:color w:val="auto"/>
          <w:szCs w:val="21"/>
          <w:highlight w:val="none"/>
        </w:rPr>
        <w:t xml:space="preserve">50</w:t>
      </w:r>
      <w:r>
        <w:rPr>
          <w:rFonts w:hint="eastAsia" w:ascii="宋体" w:hAnsi="宋体" w:cs="宋体"/>
          <w:color w:val="auto"/>
          <w:szCs w:val="21"/>
          <w:highlight w:val="none"/>
        </w:rPr>
        <w:t xml:space="preserve">万元及以上的为小型企业，营业收入</w:t>
      </w:r>
      <w:r>
        <w:rPr>
          <w:rFonts w:hint="eastAsia" w:ascii="宋体" w:hAnsi="宋体"/>
          <w:color w:val="auto"/>
          <w:szCs w:val="21"/>
          <w:highlight w:val="none"/>
        </w:rPr>
        <w:t xml:space="preserve">50</w:t>
      </w:r>
      <w:r>
        <w:rPr>
          <w:rFonts w:hint="eastAsia" w:ascii="宋体" w:hAnsi="宋体" w:cs="宋体"/>
          <w:color w:val="auto"/>
          <w:szCs w:val="21"/>
          <w:highlight w:val="none"/>
        </w:rPr>
        <w:t xml:space="preserve">万元以下的为微型企业。</w:t>
      </w:r>
      <w:r>
        <w:rPr>
          <w:rFonts w:hint="eastAsia" w:ascii="宋体" w:hAnsi="宋体"/>
          <w:color w:val="auto"/>
          <w:szCs w:val="21"/>
          <w:highlight w:val="none"/>
        </w:rPr>
        <w:br/>
      </w:r>
      <w:r>
        <w:rPr>
          <w:rFonts w:hint="eastAsia" w:ascii="宋体" w:hAnsi="宋体" w:cs="宋体"/>
          <w:color w:val="auto"/>
          <w:szCs w:val="21"/>
          <w:highlight w:val="none"/>
        </w:rPr>
        <w:t xml:space="preserve">　　（二）工业。从业人员</w:t>
      </w:r>
      <w:r>
        <w:rPr>
          <w:rFonts w:hint="eastAsia" w:ascii="宋体" w:hAnsi="宋体"/>
          <w:color w:val="auto"/>
          <w:szCs w:val="21"/>
          <w:highlight w:val="none"/>
        </w:rPr>
        <w:t xml:space="preserve">1000</w:t>
      </w:r>
      <w:r>
        <w:rPr>
          <w:rFonts w:hint="eastAsia" w:ascii="宋体" w:hAnsi="宋体" w:cs="宋体"/>
          <w:color w:val="auto"/>
          <w:szCs w:val="21"/>
          <w:highlight w:val="none"/>
        </w:rPr>
        <w:t xml:space="preserve">人以下或营业收入</w:t>
      </w:r>
      <w:r>
        <w:rPr>
          <w:rFonts w:hint="eastAsia" w:ascii="宋体" w:hAnsi="宋体"/>
          <w:color w:val="auto"/>
          <w:szCs w:val="21"/>
          <w:highlight w:val="none"/>
        </w:rPr>
        <w:t xml:space="preserve">40000</w:t>
      </w:r>
      <w:r>
        <w:rPr>
          <w:rFonts w:hint="eastAsia" w:ascii="宋体" w:hAnsi="宋体" w:cs="宋体"/>
          <w:color w:val="auto"/>
          <w:szCs w:val="21"/>
          <w:highlight w:val="none"/>
        </w:rPr>
        <w:t xml:space="preserve">万元以下的为中小微型企业。其中，从业人员</w:t>
      </w:r>
      <w:r>
        <w:rPr>
          <w:rFonts w:hint="eastAsia" w:ascii="宋体" w:hAnsi="宋体"/>
          <w:color w:val="auto"/>
          <w:szCs w:val="21"/>
          <w:highlight w:val="none"/>
        </w:rPr>
        <w:t xml:space="preserve">300</w:t>
      </w:r>
      <w:r>
        <w:rPr>
          <w:rFonts w:hint="eastAsia" w:ascii="宋体" w:hAnsi="宋体" w:cs="宋体"/>
          <w:color w:val="auto"/>
          <w:szCs w:val="21"/>
          <w:highlight w:val="none"/>
        </w:rPr>
        <w:t xml:space="preserve">人及以上，且营业收入</w:t>
      </w:r>
      <w:r>
        <w:rPr>
          <w:rFonts w:hint="eastAsia" w:ascii="宋体" w:hAnsi="宋体"/>
          <w:color w:val="auto"/>
          <w:szCs w:val="21"/>
          <w:highlight w:val="none"/>
        </w:rPr>
        <w:t xml:space="preserve">2000</w:t>
      </w:r>
      <w:r>
        <w:rPr>
          <w:rFonts w:hint="eastAsia" w:ascii="宋体" w:hAnsi="宋体" w:cs="宋体"/>
          <w:color w:val="auto"/>
          <w:szCs w:val="21"/>
          <w:highlight w:val="none"/>
        </w:rPr>
        <w:t xml:space="preserve">万元及以上的为中型企业；从业人员</w:t>
      </w:r>
      <w:r>
        <w:rPr>
          <w:rFonts w:hint="eastAsia" w:ascii="宋体" w:hAnsi="宋体"/>
          <w:color w:val="auto"/>
          <w:szCs w:val="21"/>
          <w:highlight w:val="none"/>
        </w:rPr>
        <w:t xml:space="preserve">20</w:t>
      </w:r>
      <w:r>
        <w:rPr>
          <w:rFonts w:hint="eastAsia" w:ascii="宋体" w:hAnsi="宋体" w:cs="宋体"/>
          <w:color w:val="auto"/>
          <w:szCs w:val="21"/>
          <w:highlight w:val="none"/>
        </w:rPr>
        <w:t xml:space="preserve">人及以上，且营业收入</w:t>
      </w:r>
      <w:r>
        <w:rPr>
          <w:rFonts w:hint="eastAsia" w:ascii="宋体" w:hAnsi="宋体"/>
          <w:color w:val="auto"/>
          <w:szCs w:val="21"/>
          <w:highlight w:val="none"/>
        </w:rPr>
        <w:t xml:space="preserve">300</w:t>
      </w:r>
      <w:r>
        <w:rPr>
          <w:rFonts w:hint="eastAsia" w:ascii="宋体" w:hAnsi="宋体" w:cs="宋体"/>
          <w:color w:val="auto"/>
          <w:szCs w:val="21"/>
          <w:highlight w:val="none"/>
        </w:rPr>
        <w:t xml:space="preserve">万元及以上的为小型企业；从业人员</w:t>
      </w:r>
      <w:r>
        <w:rPr>
          <w:rFonts w:hint="eastAsia" w:ascii="宋体" w:hAnsi="宋体"/>
          <w:color w:val="auto"/>
          <w:szCs w:val="21"/>
          <w:highlight w:val="none"/>
        </w:rPr>
        <w:t xml:space="preserve">20</w:t>
      </w:r>
      <w:r>
        <w:rPr>
          <w:rFonts w:hint="eastAsia" w:ascii="宋体" w:hAnsi="宋体" w:cs="宋体"/>
          <w:color w:val="auto"/>
          <w:szCs w:val="21"/>
          <w:highlight w:val="none"/>
        </w:rPr>
        <w:t xml:space="preserve">人以下或营业收入</w:t>
      </w:r>
      <w:r>
        <w:rPr>
          <w:rFonts w:hint="eastAsia" w:ascii="宋体" w:hAnsi="宋体"/>
          <w:color w:val="auto"/>
          <w:szCs w:val="21"/>
          <w:highlight w:val="none"/>
        </w:rPr>
        <w:t xml:space="preserve">300</w:t>
      </w:r>
      <w:r>
        <w:rPr>
          <w:rFonts w:hint="eastAsia" w:ascii="宋体" w:hAnsi="宋体" w:cs="宋体"/>
          <w:color w:val="auto"/>
          <w:szCs w:val="21"/>
          <w:highlight w:val="none"/>
        </w:rPr>
        <w:t xml:space="preserve">万元以下的为微型企业。</w:t>
      </w:r>
      <w:r>
        <w:rPr>
          <w:rFonts w:hint="eastAsia" w:ascii="宋体" w:hAnsi="宋体"/>
          <w:color w:val="auto"/>
          <w:szCs w:val="21"/>
          <w:highlight w:val="none"/>
        </w:rPr>
        <w:br/>
      </w:r>
      <w:r>
        <w:rPr>
          <w:rFonts w:hint="eastAsia" w:ascii="宋体" w:hAnsi="宋体" w:cs="宋体"/>
          <w:color w:val="auto"/>
          <w:szCs w:val="21"/>
          <w:highlight w:val="none"/>
        </w:rPr>
        <w:t xml:space="preserve">　　（三）建筑业。营业收入</w:t>
      </w:r>
      <w:r>
        <w:rPr>
          <w:rFonts w:hint="eastAsia" w:ascii="宋体" w:hAnsi="宋体"/>
          <w:color w:val="auto"/>
          <w:szCs w:val="21"/>
          <w:highlight w:val="none"/>
        </w:rPr>
        <w:t xml:space="preserve">80000</w:t>
      </w:r>
      <w:r>
        <w:rPr>
          <w:rFonts w:hint="eastAsia" w:ascii="宋体" w:hAnsi="宋体" w:cs="宋体"/>
          <w:color w:val="auto"/>
          <w:szCs w:val="21"/>
          <w:highlight w:val="none"/>
        </w:rPr>
        <w:t xml:space="preserve">万元以下或资产总额</w:t>
      </w:r>
      <w:r>
        <w:rPr>
          <w:rFonts w:hint="eastAsia" w:ascii="宋体" w:hAnsi="宋体"/>
          <w:color w:val="auto"/>
          <w:szCs w:val="21"/>
          <w:highlight w:val="none"/>
        </w:rPr>
        <w:t xml:space="preserve">80000</w:t>
      </w:r>
      <w:r>
        <w:rPr>
          <w:rFonts w:hint="eastAsia" w:ascii="宋体" w:hAnsi="宋体" w:cs="宋体"/>
          <w:color w:val="auto"/>
          <w:szCs w:val="21"/>
          <w:highlight w:val="none"/>
        </w:rPr>
        <w:t xml:space="preserve">万元以下的为中小微型企业。其中，营业收入</w:t>
      </w:r>
      <w:r>
        <w:rPr>
          <w:rFonts w:hint="eastAsia" w:ascii="宋体" w:hAnsi="宋体"/>
          <w:color w:val="auto"/>
          <w:szCs w:val="21"/>
          <w:highlight w:val="none"/>
        </w:rPr>
        <w:t xml:space="preserve">6000</w:t>
      </w:r>
      <w:r>
        <w:rPr>
          <w:rFonts w:hint="eastAsia" w:ascii="宋体" w:hAnsi="宋体" w:cs="宋体"/>
          <w:color w:val="auto"/>
          <w:szCs w:val="21"/>
          <w:highlight w:val="none"/>
        </w:rPr>
        <w:t xml:space="preserve">万元及以上，且资产总额</w:t>
      </w:r>
      <w:r>
        <w:rPr>
          <w:rFonts w:hint="eastAsia" w:ascii="宋体" w:hAnsi="宋体"/>
          <w:color w:val="auto"/>
          <w:szCs w:val="21"/>
          <w:highlight w:val="none"/>
        </w:rPr>
        <w:t xml:space="preserve">5000</w:t>
      </w:r>
      <w:r>
        <w:rPr>
          <w:rFonts w:hint="eastAsia" w:ascii="宋体" w:hAnsi="宋体" w:cs="宋体"/>
          <w:color w:val="auto"/>
          <w:szCs w:val="21"/>
          <w:highlight w:val="none"/>
        </w:rPr>
        <w:t xml:space="preserve">万元及以上的为中型企业；营业收入</w:t>
      </w:r>
      <w:r>
        <w:rPr>
          <w:rFonts w:hint="eastAsia" w:ascii="宋体" w:hAnsi="宋体"/>
          <w:color w:val="auto"/>
          <w:szCs w:val="21"/>
          <w:highlight w:val="none"/>
        </w:rPr>
        <w:t xml:space="preserve">300</w:t>
      </w:r>
      <w:r>
        <w:rPr>
          <w:rFonts w:hint="eastAsia" w:ascii="宋体" w:hAnsi="宋体" w:cs="宋体"/>
          <w:color w:val="auto"/>
          <w:szCs w:val="21"/>
          <w:highlight w:val="none"/>
        </w:rPr>
        <w:t xml:space="preserve">万元及以上，且资产总额</w:t>
      </w:r>
      <w:r>
        <w:rPr>
          <w:rFonts w:hint="eastAsia" w:ascii="宋体" w:hAnsi="宋体"/>
          <w:color w:val="auto"/>
          <w:szCs w:val="21"/>
          <w:highlight w:val="none"/>
        </w:rPr>
        <w:t xml:space="preserve">300</w:t>
      </w:r>
      <w:r>
        <w:rPr>
          <w:rFonts w:hint="eastAsia" w:ascii="宋体" w:hAnsi="宋体" w:cs="宋体"/>
          <w:color w:val="auto"/>
          <w:szCs w:val="21"/>
          <w:highlight w:val="none"/>
        </w:rPr>
        <w:t xml:space="preserve">万元及以上的为小型企业；营业收入</w:t>
      </w:r>
      <w:r>
        <w:rPr>
          <w:rFonts w:hint="eastAsia" w:ascii="宋体" w:hAnsi="宋体"/>
          <w:color w:val="auto"/>
          <w:szCs w:val="21"/>
          <w:highlight w:val="none"/>
        </w:rPr>
        <w:t xml:space="preserve">300</w:t>
      </w:r>
      <w:r>
        <w:rPr>
          <w:rFonts w:hint="eastAsia" w:ascii="宋体" w:hAnsi="宋体" w:cs="宋体"/>
          <w:color w:val="auto"/>
          <w:szCs w:val="21"/>
          <w:highlight w:val="none"/>
        </w:rPr>
        <w:t xml:space="preserve">万元以下或资产总额</w:t>
      </w:r>
      <w:r>
        <w:rPr>
          <w:rFonts w:hint="eastAsia" w:ascii="宋体" w:hAnsi="宋体"/>
          <w:color w:val="auto"/>
          <w:szCs w:val="21"/>
          <w:highlight w:val="none"/>
        </w:rPr>
        <w:t xml:space="preserve">300</w:t>
      </w:r>
      <w:r>
        <w:rPr>
          <w:rFonts w:hint="eastAsia" w:ascii="宋体" w:hAnsi="宋体" w:cs="宋体"/>
          <w:color w:val="auto"/>
          <w:szCs w:val="21"/>
          <w:highlight w:val="none"/>
        </w:rPr>
        <w:t xml:space="preserve">万元以下的为微型企业。</w:t>
      </w:r>
      <w:r>
        <w:rPr>
          <w:rFonts w:hint="eastAsia" w:ascii="宋体" w:hAnsi="宋体"/>
          <w:color w:val="auto"/>
          <w:szCs w:val="21"/>
          <w:highlight w:val="none"/>
        </w:rPr>
        <w:br/>
      </w:r>
      <w:r>
        <w:rPr>
          <w:rFonts w:hint="eastAsia" w:ascii="宋体" w:hAnsi="宋体" w:cs="宋体"/>
          <w:color w:val="auto"/>
          <w:szCs w:val="21"/>
          <w:highlight w:val="none"/>
        </w:rPr>
        <w:t xml:space="preserve">　　（四）批发业。从业人员</w:t>
      </w:r>
      <w:r>
        <w:rPr>
          <w:rFonts w:hint="eastAsia" w:ascii="宋体" w:hAnsi="宋体"/>
          <w:color w:val="auto"/>
          <w:szCs w:val="21"/>
          <w:highlight w:val="none"/>
        </w:rPr>
        <w:t xml:space="preserve">200</w:t>
      </w:r>
      <w:r>
        <w:rPr>
          <w:rFonts w:hint="eastAsia" w:ascii="宋体" w:hAnsi="宋体" w:cs="宋体"/>
          <w:color w:val="auto"/>
          <w:szCs w:val="21"/>
          <w:highlight w:val="none"/>
        </w:rPr>
        <w:t xml:space="preserve">人以下或营业收入</w:t>
      </w:r>
      <w:r>
        <w:rPr>
          <w:rFonts w:hint="eastAsia" w:ascii="宋体" w:hAnsi="宋体"/>
          <w:color w:val="auto"/>
          <w:szCs w:val="21"/>
          <w:highlight w:val="none"/>
        </w:rPr>
        <w:t xml:space="preserve">40000</w:t>
      </w:r>
      <w:r>
        <w:rPr>
          <w:rFonts w:hint="eastAsia" w:ascii="宋体" w:hAnsi="宋体" w:cs="宋体"/>
          <w:color w:val="auto"/>
          <w:szCs w:val="21"/>
          <w:highlight w:val="none"/>
        </w:rPr>
        <w:t xml:space="preserve">万元以下的为中小微型企业。其中，从业人员</w:t>
      </w:r>
      <w:r>
        <w:rPr>
          <w:rFonts w:hint="eastAsia" w:ascii="宋体" w:hAnsi="宋体"/>
          <w:color w:val="auto"/>
          <w:szCs w:val="21"/>
          <w:highlight w:val="none"/>
        </w:rPr>
        <w:t xml:space="preserve">20</w:t>
      </w:r>
      <w:r>
        <w:rPr>
          <w:rFonts w:hint="eastAsia" w:ascii="宋体" w:hAnsi="宋体" w:cs="宋体"/>
          <w:color w:val="auto"/>
          <w:szCs w:val="21"/>
          <w:highlight w:val="none"/>
        </w:rPr>
        <w:t xml:space="preserve">人及以上，且营业收入</w:t>
      </w:r>
      <w:r>
        <w:rPr>
          <w:rFonts w:hint="eastAsia" w:ascii="宋体" w:hAnsi="宋体"/>
          <w:color w:val="auto"/>
          <w:szCs w:val="21"/>
          <w:highlight w:val="none"/>
        </w:rPr>
        <w:t xml:space="preserve">5000</w:t>
      </w:r>
      <w:r>
        <w:rPr>
          <w:rFonts w:hint="eastAsia" w:ascii="宋体" w:hAnsi="宋体" w:cs="宋体"/>
          <w:color w:val="auto"/>
          <w:szCs w:val="21"/>
          <w:highlight w:val="none"/>
        </w:rPr>
        <w:t xml:space="preserve">万元及以上的为中型企业；从业人员</w:t>
      </w:r>
      <w:r>
        <w:rPr>
          <w:rFonts w:hint="eastAsia" w:ascii="宋体" w:hAnsi="宋体"/>
          <w:color w:val="auto"/>
          <w:szCs w:val="21"/>
          <w:highlight w:val="none"/>
        </w:rPr>
        <w:t xml:space="preserve">5</w:t>
      </w:r>
      <w:r>
        <w:rPr>
          <w:rFonts w:hint="eastAsia" w:ascii="宋体" w:hAnsi="宋体" w:cs="宋体"/>
          <w:color w:val="auto"/>
          <w:szCs w:val="21"/>
          <w:highlight w:val="none"/>
        </w:rPr>
        <w:t xml:space="preserve">人及以上，且营业收入</w:t>
      </w:r>
      <w:r>
        <w:rPr>
          <w:rFonts w:hint="eastAsia" w:ascii="宋体" w:hAnsi="宋体"/>
          <w:color w:val="auto"/>
          <w:szCs w:val="21"/>
          <w:highlight w:val="none"/>
        </w:rPr>
        <w:t xml:space="preserve">1000</w:t>
      </w:r>
      <w:r>
        <w:rPr>
          <w:rFonts w:hint="eastAsia" w:ascii="宋体" w:hAnsi="宋体" w:cs="宋体"/>
          <w:color w:val="auto"/>
          <w:szCs w:val="21"/>
          <w:highlight w:val="none"/>
        </w:rPr>
        <w:t xml:space="preserve">万元及以上的为小型企业；从业人员</w:t>
      </w:r>
      <w:r>
        <w:rPr>
          <w:rFonts w:hint="eastAsia" w:ascii="宋体" w:hAnsi="宋体"/>
          <w:color w:val="auto"/>
          <w:szCs w:val="21"/>
          <w:highlight w:val="none"/>
        </w:rPr>
        <w:t xml:space="preserve">5</w:t>
      </w:r>
      <w:r>
        <w:rPr>
          <w:rFonts w:hint="eastAsia" w:ascii="宋体" w:hAnsi="宋体" w:cs="宋体"/>
          <w:color w:val="auto"/>
          <w:szCs w:val="21"/>
          <w:highlight w:val="none"/>
        </w:rPr>
        <w:t xml:space="preserve">人以下或营业收入</w:t>
      </w:r>
      <w:r>
        <w:rPr>
          <w:rFonts w:hint="eastAsia" w:ascii="宋体" w:hAnsi="宋体"/>
          <w:color w:val="auto"/>
          <w:szCs w:val="21"/>
          <w:highlight w:val="none"/>
        </w:rPr>
        <w:t xml:space="preserve">1000</w:t>
      </w:r>
      <w:r>
        <w:rPr>
          <w:rFonts w:hint="eastAsia" w:ascii="宋体" w:hAnsi="宋体" w:cs="宋体"/>
          <w:color w:val="auto"/>
          <w:szCs w:val="21"/>
          <w:highlight w:val="none"/>
        </w:rPr>
        <w:t xml:space="preserve">万元以下的为微型企业。</w:t>
      </w:r>
      <w:r>
        <w:rPr>
          <w:rFonts w:hint="eastAsia" w:ascii="宋体" w:hAnsi="宋体"/>
          <w:color w:val="auto"/>
          <w:szCs w:val="21"/>
          <w:highlight w:val="none"/>
        </w:rPr>
        <w:br/>
      </w:r>
      <w:r>
        <w:rPr>
          <w:rFonts w:hint="eastAsia" w:ascii="宋体" w:hAnsi="宋体" w:cs="宋体"/>
          <w:color w:val="auto"/>
          <w:szCs w:val="21"/>
          <w:highlight w:val="none"/>
        </w:rPr>
        <w:t xml:space="preserve">　　（五）零售业。从业人员</w:t>
      </w:r>
      <w:r>
        <w:rPr>
          <w:rFonts w:hint="eastAsia" w:ascii="宋体" w:hAnsi="宋体"/>
          <w:color w:val="auto"/>
          <w:szCs w:val="21"/>
          <w:highlight w:val="none"/>
        </w:rPr>
        <w:t xml:space="preserve">300</w:t>
      </w:r>
      <w:r>
        <w:rPr>
          <w:rFonts w:hint="eastAsia" w:ascii="宋体" w:hAnsi="宋体" w:cs="宋体"/>
          <w:color w:val="auto"/>
          <w:szCs w:val="21"/>
          <w:highlight w:val="none"/>
        </w:rPr>
        <w:t xml:space="preserve">人以下或营业收入</w:t>
      </w:r>
      <w:r>
        <w:rPr>
          <w:rFonts w:hint="eastAsia" w:ascii="宋体" w:hAnsi="宋体"/>
          <w:color w:val="auto"/>
          <w:szCs w:val="21"/>
          <w:highlight w:val="none"/>
        </w:rPr>
        <w:t xml:space="preserve">20000</w:t>
      </w:r>
      <w:r>
        <w:rPr>
          <w:rFonts w:hint="eastAsia" w:ascii="宋体" w:hAnsi="宋体" w:cs="宋体"/>
          <w:color w:val="auto"/>
          <w:szCs w:val="21"/>
          <w:highlight w:val="none"/>
        </w:rPr>
        <w:t xml:space="preserve">万元以下的为中小微型企业。其中，从业人员</w:t>
      </w:r>
      <w:r>
        <w:rPr>
          <w:rFonts w:hint="eastAsia" w:ascii="宋体" w:hAnsi="宋体"/>
          <w:color w:val="auto"/>
          <w:szCs w:val="21"/>
          <w:highlight w:val="none"/>
        </w:rPr>
        <w:t xml:space="preserve">50</w:t>
      </w:r>
      <w:r>
        <w:rPr>
          <w:rFonts w:hint="eastAsia" w:ascii="宋体" w:hAnsi="宋体" w:cs="宋体"/>
          <w:color w:val="auto"/>
          <w:szCs w:val="21"/>
          <w:highlight w:val="none"/>
        </w:rPr>
        <w:t xml:space="preserve">人及以上，且营业收入</w:t>
      </w:r>
      <w:r>
        <w:rPr>
          <w:rFonts w:hint="eastAsia" w:ascii="宋体" w:hAnsi="宋体"/>
          <w:color w:val="auto"/>
          <w:szCs w:val="21"/>
          <w:highlight w:val="none"/>
        </w:rPr>
        <w:t xml:space="preserve">500</w:t>
      </w:r>
      <w:r>
        <w:rPr>
          <w:rFonts w:hint="eastAsia" w:ascii="宋体" w:hAnsi="宋体" w:cs="宋体"/>
          <w:color w:val="auto"/>
          <w:szCs w:val="21"/>
          <w:highlight w:val="none"/>
        </w:rPr>
        <w:t xml:space="preserve">万元及以上的为中型企业；从业人员</w:t>
      </w:r>
      <w:r>
        <w:rPr>
          <w:rFonts w:hint="eastAsia" w:ascii="宋体" w:hAnsi="宋体"/>
          <w:color w:val="auto"/>
          <w:szCs w:val="21"/>
          <w:highlight w:val="none"/>
        </w:rPr>
        <w:t xml:space="preserve">10</w:t>
      </w:r>
      <w:r>
        <w:rPr>
          <w:rFonts w:hint="eastAsia" w:ascii="宋体" w:hAnsi="宋体" w:cs="宋体"/>
          <w:color w:val="auto"/>
          <w:szCs w:val="21"/>
          <w:highlight w:val="none"/>
        </w:rPr>
        <w:t xml:space="preserve">人及以上，且营业收入</w:t>
      </w:r>
      <w:r>
        <w:rPr>
          <w:rFonts w:hint="eastAsia" w:ascii="宋体" w:hAnsi="宋体"/>
          <w:color w:val="auto"/>
          <w:szCs w:val="21"/>
          <w:highlight w:val="none"/>
        </w:rPr>
        <w:t xml:space="preserve">100</w:t>
      </w:r>
      <w:r>
        <w:rPr>
          <w:rFonts w:hint="eastAsia" w:ascii="宋体" w:hAnsi="宋体" w:cs="宋体"/>
          <w:color w:val="auto"/>
          <w:szCs w:val="21"/>
          <w:highlight w:val="none"/>
        </w:rPr>
        <w:t xml:space="preserve">万元及以上的为小型企业；从业人员</w:t>
      </w:r>
      <w:r>
        <w:rPr>
          <w:rFonts w:hint="eastAsia" w:ascii="宋体" w:hAnsi="宋体"/>
          <w:color w:val="auto"/>
          <w:szCs w:val="21"/>
          <w:highlight w:val="none"/>
        </w:rPr>
        <w:t xml:space="preserve">10</w:t>
      </w:r>
      <w:r>
        <w:rPr>
          <w:rFonts w:hint="eastAsia" w:ascii="宋体" w:hAnsi="宋体" w:cs="宋体"/>
          <w:color w:val="auto"/>
          <w:szCs w:val="21"/>
          <w:highlight w:val="none"/>
        </w:rPr>
        <w:t xml:space="preserve">人以下或营业收入</w:t>
      </w:r>
      <w:r>
        <w:rPr>
          <w:rFonts w:hint="eastAsia" w:ascii="宋体" w:hAnsi="宋体"/>
          <w:color w:val="auto"/>
          <w:szCs w:val="21"/>
          <w:highlight w:val="none"/>
        </w:rPr>
        <w:t xml:space="preserve">100</w:t>
      </w:r>
      <w:r>
        <w:rPr>
          <w:rFonts w:hint="eastAsia" w:ascii="宋体" w:hAnsi="宋体" w:cs="宋体"/>
          <w:color w:val="auto"/>
          <w:szCs w:val="21"/>
          <w:highlight w:val="none"/>
        </w:rPr>
        <w:t xml:space="preserve">万元以下的为微型企业。</w:t>
      </w:r>
      <w:r>
        <w:rPr>
          <w:rFonts w:hint="eastAsia" w:ascii="宋体" w:hAnsi="宋体"/>
          <w:color w:val="auto"/>
          <w:szCs w:val="21"/>
          <w:highlight w:val="none"/>
        </w:rPr>
        <w:br/>
      </w:r>
      <w:r>
        <w:rPr>
          <w:rFonts w:hint="eastAsia" w:ascii="宋体" w:hAnsi="宋体" w:cs="宋体"/>
          <w:color w:val="auto"/>
          <w:szCs w:val="21"/>
          <w:highlight w:val="none"/>
        </w:rPr>
        <w:t xml:space="preserve">　　（六）交通运输业。从业人员</w:t>
      </w:r>
      <w:r>
        <w:rPr>
          <w:rFonts w:hint="eastAsia" w:ascii="宋体" w:hAnsi="宋体"/>
          <w:color w:val="auto"/>
          <w:szCs w:val="21"/>
          <w:highlight w:val="none"/>
        </w:rPr>
        <w:t xml:space="preserve">1000</w:t>
      </w:r>
      <w:r>
        <w:rPr>
          <w:rFonts w:hint="eastAsia" w:ascii="宋体" w:hAnsi="宋体" w:cs="宋体"/>
          <w:color w:val="auto"/>
          <w:szCs w:val="21"/>
          <w:highlight w:val="none"/>
        </w:rPr>
        <w:t xml:space="preserve">人以下或营业收入</w:t>
      </w:r>
      <w:r>
        <w:rPr>
          <w:rFonts w:hint="eastAsia" w:ascii="宋体" w:hAnsi="宋体"/>
          <w:color w:val="auto"/>
          <w:szCs w:val="21"/>
          <w:highlight w:val="none"/>
        </w:rPr>
        <w:t xml:space="preserve">30000</w:t>
      </w:r>
      <w:r>
        <w:rPr>
          <w:rFonts w:hint="eastAsia" w:ascii="宋体" w:hAnsi="宋体" w:cs="宋体"/>
          <w:color w:val="auto"/>
          <w:szCs w:val="21"/>
          <w:highlight w:val="none"/>
        </w:rPr>
        <w:t xml:space="preserve">万元以下的为中小微型企业。其中，从业人员</w:t>
      </w:r>
      <w:r>
        <w:rPr>
          <w:rFonts w:hint="eastAsia" w:ascii="宋体" w:hAnsi="宋体"/>
          <w:color w:val="auto"/>
          <w:szCs w:val="21"/>
          <w:highlight w:val="none"/>
        </w:rPr>
        <w:t xml:space="preserve">300</w:t>
      </w:r>
      <w:r>
        <w:rPr>
          <w:rFonts w:hint="eastAsia" w:ascii="宋体" w:hAnsi="宋体" w:cs="宋体"/>
          <w:color w:val="auto"/>
          <w:szCs w:val="21"/>
          <w:highlight w:val="none"/>
        </w:rPr>
        <w:t xml:space="preserve">人及以上，且营业收入</w:t>
      </w:r>
      <w:r>
        <w:rPr>
          <w:rFonts w:hint="eastAsia" w:ascii="宋体" w:hAnsi="宋体"/>
          <w:color w:val="auto"/>
          <w:szCs w:val="21"/>
          <w:highlight w:val="none"/>
        </w:rPr>
        <w:t xml:space="preserve">3000</w:t>
      </w:r>
      <w:r>
        <w:rPr>
          <w:rFonts w:hint="eastAsia" w:ascii="宋体" w:hAnsi="宋体" w:cs="宋体"/>
          <w:color w:val="auto"/>
          <w:szCs w:val="21"/>
          <w:highlight w:val="none"/>
        </w:rPr>
        <w:t xml:space="preserve">万元及以上的为中型企业；从业人员</w:t>
      </w:r>
      <w:r>
        <w:rPr>
          <w:rFonts w:hint="eastAsia" w:ascii="宋体" w:hAnsi="宋体"/>
          <w:color w:val="auto"/>
          <w:szCs w:val="21"/>
          <w:highlight w:val="none"/>
        </w:rPr>
        <w:t xml:space="preserve">20</w:t>
      </w:r>
      <w:r>
        <w:rPr>
          <w:rFonts w:hint="eastAsia" w:ascii="宋体" w:hAnsi="宋体" w:cs="宋体"/>
          <w:color w:val="auto"/>
          <w:szCs w:val="21"/>
          <w:highlight w:val="none"/>
        </w:rPr>
        <w:t xml:space="preserve">人及以上，且营业收入</w:t>
      </w:r>
      <w:r>
        <w:rPr>
          <w:rFonts w:hint="eastAsia" w:ascii="宋体" w:hAnsi="宋体"/>
          <w:color w:val="auto"/>
          <w:szCs w:val="21"/>
          <w:highlight w:val="none"/>
        </w:rPr>
        <w:t xml:space="preserve">200</w:t>
      </w:r>
      <w:r>
        <w:rPr>
          <w:rFonts w:hint="eastAsia" w:ascii="宋体" w:hAnsi="宋体" w:cs="宋体"/>
          <w:color w:val="auto"/>
          <w:szCs w:val="21"/>
          <w:highlight w:val="none"/>
        </w:rPr>
        <w:t xml:space="preserve">万元及以上的为小型企业；从业人员</w:t>
      </w:r>
      <w:r>
        <w:rPr>
          <w:rFonts w:hint="eastAsia" w:ascii="宋体" w:hAnsi="宋体"/>
          <w:color w:val="auto"/>
          <w:szCs w:val="21"/>
          <w:highlight w:val="none"/>
        </w:rPr>
        <w:t xml:space="preserve">20</w:t>
      </w:r>
      <w:r>
        <w:rPr>
          <w:rFonts w:hint="eastAsia" w:ascii="宋体" w:hAnsi="宋体" w:cs="宋体"/>
          <w:color w:val="auto"/>
          <w:szCs w:val="21"/>
          <w:highlight w:val="none"/>
        </w:rPr>
        <w:t xml:space="preserve">人以下或营业收入</w:t>
      </w:r>
      <w:r>
        <w:rPr>
          <w:rFonts w:hint="eastAsia" w:ascii="宋体" w:hAnsi="宋体"/>
          <w:color w:val="auto"/>
          <w:szCs w:val="21"/>
          <w:highlight w:val="none"/>
        </w:rPr>
        <w:t xml:space="preserve">200</w:t>
      </w:r>
      <w:r>
        <w:rPr>
          <w:rFonts w:hint="eastAsia" w:ascii="宋体" w:hAnsi="宋体" w:cs="宋体"/>
          <w:color w:val="auto"/>
          <w:szCs w:val="21"/>
          <w:highlight w:val="none"/>
        </w:rPr>
        <w:t xml:space="preserve">万元以下的为微型企业。</w:t>
      </w:r>
      <w:r>
        <w:rPr>
          <w:rFonts w:hint="eastAsia" w:ascii="宋体" w:hAnsi="宋体"/>
          <w:color w:val="auto"/>
          <w:szCs w:val="21"/>
          <w:highlight w:val="none"/>
        </w:rPr>
        <w:br/>
      </w:r>
      <w:r>
        <w:rPr>
          <w:rFonts w:hint="eastAsia" w:ascii="宋体" w:hAnsi="宋体" w:cs="宋体"/>
          <w:color w:val="auto"/>
          <w:szCs w:val="21"/>
          <w:highlight w:val="none"/>
        </w:rPr>
        <w:t xml:space="preserve">　　（七）仓储业。从业人员</w:t>
      </w:r>
      <w:r>
        <w:rPr>
          <w:rFonts w:hint="eastAsia" w:ascii="宋体" w:hAnsi="宋体"/>
          <w:color w:val="auto"/>
          <w:szCs w:val="21"/>
          <w:highlight w:val="none"/>
        </w:rPr>
        <w:t xml:space="preserve">200</w:t>
      </w:r>
      <w:r>
        <w:rPr>
          <w:rFonts w:hint="eastAsia" w:ascii="宋体" w:hAnsi="宋体" w:cs="宋体"/>
          <w:color w:val="auto"/>
          <w:szCs w:val="21"/>
          <w:highlight w:val="none"/>
        </w:rPr>
        <w:t xml:space="preserve">人以下或营业收入</w:t>
      </w:r>
      <w:r>
        <w:rPr>
          <w:rFonts w:hint="eastAsia" w:ascii="宋体" w:hAnsi="宋体"/>
          <w:color w:val="auto"/>
          <w:szCs w:val="21"/>
          <w:highlight w:val="none"/>
        </w:rPr>
        <w:t xml:space="preserve">30000</w:t>
      </w:r>
      <w:r>
        <w:rPr>
          <w:rFonts w:hint="eastAsia" w:ascii="宋体" w:hAnsi="宋体" w:cs="宋体"/>
          <w:color w:val="auto"/>
          <w:szCs w:val="21"/>
          <w:highlight w:val="none"/>
        </w:rPr>
        <w:t xml:space="preserve">万元以下的为中小微型企业。其中，从业人员</w:t>
      </w:r>
      <w:r>
        <w:rPr>
          <w:rFonts w:hint="eastAsia" w:ascii="宋体" w:hAnsi="宋体"/>
          <w:color w:val="auto"/>
          <w:szCs w:val="21"/>
          <w:highlight w:val="none"/>
        </w:rPr>
        <w:t xml:space="preserve">100</w:t>
      </w:r>
      <w:r>
        <w:rPr>
          <w:rFonts w:hint="eastAsia" w:ascii="宋体" w:hAnsi="宋体" w:cs="宋体"/>
          <w:color w:val="auto"/>
          <w:szCs w:val="21"/>
          <w:highlight w:val="none"/>
        </w:rPr>
        <w:t xml:space="preserve">人及以上，且营业收入</w:t>
      </w:r>
      <w:r>
        <w:rPr>
          <w:rFonts w:hint="eastAsia" w:ascii="宋体" w:hAnsi="宋体"/>
          <w:color w:val="auto"/>
          <w:szCs w:val="21"/>
          <w:highlight w:val="none"/>
        </w:rPr>
        <w:t xml:space="preserve">1000</w:t>
      </w:r>
      <w:r>
        <w:rPr>
          <w:rFonts w:hint="eastAsia" w:ascii="宋体" w:hAnsi="宋体" w:cs="宋体"/>
          <w:color w:val="auto"/>
          <w:szCs w:val="21"/>
          <w:highlight w:val="none"/>
        </w:rPr>
        <w:t xml:space="preserve">万元及以上的为中型企业；从业人员</w:t>
      </w:r>
      <w:r>
        <w:rPr>
          <w:rFonts w:hint="eastAsia" w:ascii="宋体" w:hAnsi="宋体"/>
          <w:color w:val="auto"/>
          <w:szCs w:val="21"/>
          <w:highlight w:val="none"/>
        </w:rPr>
        <w:t xml:space="preserve">20</w:t>
      </w:r>
      <w:r>
        <w:rPr>
          <w:rFonts w:hint="eastAsia" w:ascii="宋体" w:hAnsi="宋体" w:cs="宋体"/>
          <w:color w:val="auto"/>
          <w:szCs w:val="21"/>
          <w:highlight w:val="none"/>
        </w:rPr>
        <w:t xml:space="preserve">人及以上，且营业收入</w:t>
      </w:r>
      <w:r>
        <w:rPr>
          <w:rFonts w:hint="eastAsia" w:ascii="宋体" w:hAnsi="宋体"/>
          <w:color w:val="auto"/>
          <w:szCs w:val="21"/>
          <w:highlight w:val="none"/>
        </w:rPr>
        <w:t xml:space="preserve">100</w:t>
      </w:r>
      <w:r>
        <w:rPr>
          <w:rFonts w:hint="eastAsia" w:ascii="宋体" w:hAnsi="宋体" w:cs="宋体"/>
          <w:color w:val="auto"/>
          <w:szCs w:val="21"/>
          <w:highlight w:val="none"/>
        </w:rPr>
        <w:t xml:space="preserve">万元及以上的为小型企业；从业人员</w:t>
      </w:r>
      <w:r>
        <w:rPr>
          <w:rFonts w:hint="eastAsia" w:ascii="宋体" w:hAnsi="宋体"/>
          <w:color w:val="auto"/>
          <w:szCs w:val="21"/>
          <w:highlight w:val="none"/>
        </w:rPr>
        <w:t xml:space="preserve">20</w:t>
      </w:r>
      <w:r>
        <w:rPr>
          <w:rFonts w:hint="eastAsia" w:ascii="宋体" w:hAnsi="宋体" w:cs="宋体"/>
          <w:color w:val="auto"/>
          <w:szCs w:val="21"/>
          <w:highlight w:val="none"/>
        </w:rPr>
        <w:t xml:space="preserve">人以下或营业收入</w:t>
      </w:r>
      <w:r>
        <w:rPr>
          <w:rFonts w:hint="eastAsia" w:ascii="宋体" w:hAnsi="宋体"/>
          <w:color w:val="auto"/>
          <w:szCs w:val="21"/>
          <w:highlight w:val="none"/>
        </w:rPr>
        <w:t xml:space="preserve">100</w:t>
      </w:r>
      <w:r>
        <w:rPr>
          <w:rFonts w:hint="eastAsia" w:ascii="宋体" w:hAnsi="宋体" w:cs="宋体"/>
          <w:color w:val="auto"/>
          <w:szCs w:val="21"/>
          <w:highlight w:val="none"/>
        </w:rPr>
        <w:t xml:space="preserve">万元以下的为微型企业。</w:t>
      </w:r>
      <w:r>
        <w:rPr>
          <w:rFonts w:hint="eastAsia" w:ascii="宋体" w:hAnsi="宋体"/>
          <w:color w:val="auto"/>
          <w:szCs w:val="21"/>
          <w:highlight w:val="none"/>
        </w:rPr>
        <w:br/>
      </w:r>
      <w:r>
        <w:rPr>
          <w:rFonts w:hint="eastAsia" w:ascii="宋体" w:hAnsi="宋体" w:cs="宋体"/>
          <w:color w:val="auto"/>
          <w:szCs w:val="21"/>
          <w:highlight w:val="none"/>
        </w:rPr>
        <w:t xml:space="preserve">　　（八）邮政业。从业人员</w:t>
      </w:r>
      <w:r>
        <w:rPr>
          <w:rFonts w:hint="eastAsia" w:ascii="宋体" w:hAnsi="宋体"/>
          <w:color w:val="auto"/>
          <w:szCs w:val="21"/>
          <w:highlight w:val="none"/>
        </w:rPr>
        <w:t xml:space="preserve">1000</w:t>
      </w:r>
      <w:r>
        <w:rPr>
          <w:rFonts w:hint="eastAsia" w:ascii="宋体" w:hAnsi="宋体" w:cs="宋体"/>
          <w:color w:val="auto"/>
          <w:szCs w:val="21"/>
          <w:highlight w:val="none"/>
        </w:rPr>
        <w:t xml:space="preserve">人以下或营业收入</w:t>
      </w:r>
      <w:r>
        <w:rPr>
          <w:rFonts w:hint="eastAsia" w:ascii="宋体" w:hAnsi="宋体"/>
          <w:color w:val="auto"/>
          <w:szCs w:val="21"/>
          <w:highlight w:val="none"/>
        </w:rPr>
        <w:t xml:space="preserve">30000</w:t>
      </w:r>
      <w:r>
        <w:rPr>
          <w:rFonts w:hint="eastAsia" w:ascii="宋体" w:hAnsi="宋体" w:cs="宋体"/>
          <w:color w:val="auto"/>
          <w:szCs w:val="21"/>
          <w:highlight w:val="none"/>
        </w:rPr>
        <w:t xml:space="preserve">万元以下的为中小微型企业。其中，从业人员</w:t>
      </w:r>
      <w:r>
        <w:rPr>
          <w:rFonts w:hint="eastAsia" w:ascii="宋体" w:hAnsi="宋体"/>
          <w:color w:val="auto"/>
          <w:szCs w:val="21"/>
          <w:highlight w:val="none"/>
        </w:rPr>
        <w:t xml:space="preserve">300</w:t>
      </w:r>
      <w:r>
        <w:rPr>
          <w:rFonts w:hint="eastAsia" w:ascii="宋体" w:hAnsi="宋体" w:cs="宋体"/>
          <w:color w:val="auto"/>
          <w:szCs w:val="21"/>
          <w:highlight w:val="none"/>
        </w:rPr>
        <w:t xml:space="preserve">人及以上，且营业收入</w:t>
      </w:r>
      <w:r>
        <w:rPr>
          <w:rFonts w:hint="eastAsia" w:ascii="宋体" w:hAnsi="宋体"/>
          <w:color w:val="auto"/>
          <w:szCs w:val="21"/>
          <w:highlight w:val="none"/>
        </w:rPr>
        <w:t xml:space="preserve">2000</w:t>
      </w:r>
      <w:r>
        <w:rPr>
          <w:rFonts w:hint="eastAsia" w:ascii="宋体" w:hAnsi="宋体" w:cs="宋体"/>
          <w:color w:val="auto"/>
          <w:szCs w:val="21"/>
          <w:highlight w:val="none"/>
        </w:rPr>
        <w:t xml:space="preserve">万元及以上的为中型企业；从业人员</w:t>
      </w:r>
      <w:r>
        <w:rPr>
          <w:rFonts w:hint="eastAsia" w:ascii="宋体" w:hAnsi="宋体"/>
          <w:color w:val="auto"/>
          <w:szCs w:val="21"/>
          <w:highlight w:val="none"/>
        </w:rPr>
        <w:t xml:space="preserve">20</w:t>
      </w:r>
      <w:r>
        <w:rPr>
          <w:rFonts w:hint="eastAsia" w:ascii="宋体" w:hAnsi="宋体" w:cs="宋体"/>
          <w:color w:val="auto"/>
          <w:szCs w:val="21"/>
          <w:highlight w:val="none"/>
        </w:rPr>
        <w:t xml:space="preserve">人及以上，且营业收入</w:t>
      </w:r>
      <w:r>
        <w:rPr>
          <w:rFonts w:hint="eastAsia" w:ascii="宋体" w:hAnsi="宋体"/>
          <w:color w:val="auto"/>
          <w:szCs w:val="21"/>
          <w:highlight w:val="none"/>
        </w:rPr>
        <w:t xml:space="preserve">100</w:t>
      </w:r>
      <w:r>
        <w:rPr>
          <w:rFonts w:hint="eastAsia" w:ascii="宋体" w:hAnsi="宋体" w:cs="宋体"/>
          <w:color w:val="auto"/>
          <w:szCs w:val="21"/>
          <w:highlight w:val="none"/>
        </w:rPr>
        <w:t xml:space="preserve">万元及以上的为小型企业；从业人员</w:t>
      </w:r>
      <w:r>
        <w:rPr>
          <w:rFonts w:hint="eastAsia" w:ascii="宋体" w:hAnsi="宋体"/>
          <w:color w:val="auto"/>
          <w:szCs w:val="21"/>
          <w:highlight w:val="none"/>
        </w:rPr>
        <w:t xml:space="preserve">20</w:t>
      </w:r>
      <w:r>
        <w:rPr>
          <w:rFonts w:hint="eastAsia" w:ascii="宋体" w:hAnsi="宋体" w:cs="宋体"/>
          <w:color w:val="auto"/>
          <w:szCs w:val="21"/>
          <w:highlight w:val="none"/>
        </w:rPr>
        <w:t xml:space="preserve">人以下或营业收入</w:t>
      </w:r>
      <w:r>
        <w:rPr>
          <w:rFonts w:hint="eastAsia" w:ascii="宋体" w:hAnsi="宋体"/>
          <w:color w:val="auto"/>
          <w:szCs w:val="21"/>
          <w:highlight w:val="none"/>
        </w:rPr>
        <w:t xml:space="preserve">100</w:t>
      </w:r>
      <w:r>
        <w:rPr>
          <w:rFonts w:hint="eastAsia" w:ascii="宋体" w:hAnsi="宋体" w:cs="宋体"/>
          <w:color w:val="auto"/>
          <w:szCs w:val="21"/>
          <w:highlight w:val="none"/>
        </w:rPr>
        <w:t xml:space="preserve">万元以下的为微型企业。</w:t>
      </w:r>
      <w:r>
        <w:rPr>
          <w:rFonts w:hint="eastAsia" w:ascii="宋体" w:hAnsi="宋体"/>
          <w:color w:val="auto"/>
          <w:szCs w:val="21"/>
          <w:highlight w:val="none"/>
        </w:rPr>
        <w:br/>
      </w:r>
      <w:r>
        <w:rPr>
          <w:rFonts w:hint="eastAsia" w:ascii="宋体" w:hAnsi="宋体" w:cs="宋体"/>
          <w:color w:val="auto"/>
          <w:szCs w:val="21"/>
          <w:highlight w:val="none"/>
        </w:rPr>
        <w:t xml:space="preserve">　　（九）住宿业。从业人员</w:t>
      </w:r>
      <w:r>
        <w:rPr>
          <w:rFonts w:hint="eastAsia" w:ascii="宋体" w:hAnsi="宋体"/>
          <w:color w:val="auto"/>
          <w:szCs w:val="21"/>
          <w:highlight w:val="none"/>
        </w:rPr>
        <w:t xml:space="preserve">300</w:t>
      </w:r>
      <w:r>
        <w:rPr>
          <w:rFonts w:hint="eastAsia" w:ascii="宋体" w:hAnsi="宋体" w:cs="宋体"/>
          <w:color w:val="auto"/>
          <w:szCs w:val="21"/>
          <w:highlight w:val="none"/>
        </w:rPr>
        <w:t xml:space="preserve">人以下或营业收入</w:t>
      </w:r>
      <w:r>
        <w:rPr>
          <w:rFonts w:hint="eastAsia" w:ascii="宋体" w:hAnsi="宋体"/>
          <w:color w:val="auto"/>
          <w:szCs w:val="21"/>
          <w:highlight w:val="none"/>
        </w:rPr>
        <w:t xml:space="preserve">10000</w:t>
      </w:r>
      <w:r>
        <w:rPr>
          <w:rFonts w:hint="eastAsia" w:ascii="宋体" w:hAnsi="宋体" w:cs="宋体"/>
          <w:color w:val="auto"/>
          <w:szCs w:val="21"/>
          <w:highlight w:val="none"/>
        </w:rPr>
        <w:t xml:space="preserve">万元以下的为中小微型企业。其中，从业人员</w:t>
      </w:r>
      <w:r>
        <w:rPr>
          <w:rFonts w:hint="eastAsia" w:ascii="宋体" w:hAnsi="宋体"/>
          <w:color w:val="auto"/>
          <w:szCs w:val="21"/>
          <w:highlight w:val="none"/>
        </w:rPr>
        <w:t xml:space="preserve">100</w:t>
      </w:r>
      <w:r>
        <w:rPr>
          <w:rFonts w:hint="eastAsia" w:ascii="宋体" w:hAnsi="宋体" w:cs="宋体"/>
          <w:color w:val="auto"/>
          <w:szCs w:val="21"/>
          <w:highlight w:val="none"/>
        </w:rPr>
        <w:t xml:space="preserve">人及以上，且营业收入</w:t>
      </w:r>
      <w:r>
        <w:rPr>
          <w:rFonts w:hint="eastAsia" w:ascii="宋体" w:hAnsi="宋体"/>
          <w:color w:val="auto"/>
          <w:szCs w:val="21"/>
          <w:highlight w:val="none"/>
        </w:rPr>
        <w:t xml:space="preserve">2000</w:t>
      </w:r>
      <w:r>
        <w:rPr>
          <w:rFonts w:hint="eastAsia" w:ascii="宋体" w:hAnsi="宋体" w:cs="宋体"/>
          <w:color w:val="auto"/>
          <w:szCs w:val="21"/>
          <w:highlight w:val="none"/>
        </w:rPr>
        <w:t xml:space="preserve">万元及以上的为中型企业；从业人员</w:t>
      </w:r>
      <w:r>
        <w:rPr>
          <w:rFonts w:hint="eastAsia" w:ascii="宋体" w:hAnsi="宋体"/>
          <w:color w:val="auto"/>
          <w:szCs w:val="21"/>
          <w:highlight w:val="none"/>
        </w:rPr>
        <w:t xml:space="preserve">10</w:t>
      </w:r>
      <w:r>
        <w:rPr>
          <w:rFonts w:hint="eastAsia" w:ascii="宋体" w:hAnsi="宋体" w:cs="宋体"/>
          <w:color w:val="auto"/>
          <w:szCs w:val="21"/>
          <w:highlight w:val="none"/>
        </w:rPr>
        <w:t xml:space="preserve">人及以上，且营业收入</w:t>
      </w:r>
      <w:r>
        <w:rPr>
          <w:rFonts w:hint="eastAsia" w:ascii="宋体" w:hAnsi="宋体"/>
          <w:color w:val="auto"/>
          <w:szCs w:val="21"/>
          <w:highlight w:val="none"/>
        </w:rPr>
        <w:t xml:space="preserve">100</w:t>
      </w:r>
      <w:r>
        <w:rPr>
          <w:rFonts w:hint="eastAsia" w:ascii="宋体" w:hAnsi="宋体" w:cs="宋体"/>
          <w:color w:val="auto"/>
          <w:szCs w:val="21"/>
          <w:highlight w:val="none"/>
        </w:rPr>
        <w:t xml:space="preserve">万元及以上的为小型企业；从业人员</w:t>
      </w:r>
      <w:r>
        <w:rPr>
          <w:rFonts w:hint="eastAsia" w:ascii="宋体" w:hAnsi="宋体"/>
          <w:color w:val="auto"/>
          <w:szCs w:val="21"/>
          <w:highlight w:val="none"/>
        </w:rPr>
        <w:t xml:space="preserve">10</w:t>
      </w:r>
      <w:r>
        <w:rPr>
          <w:rFonts w:hint="eastAsia" w:ascii="宋体" w:hAnsi="宋体" w:cs="宋体"/>
          <w:color w:val="auto"/>
          <w:szCs w:val="21"/>
          <w:highlight w:val="none"/>
        </w:rPr>
        <w:t xml:space="preserve">人以下或营业收入</w:t>
      </w:r>
      <w:r>
        <w:rPr>
          <w:rFonts w:hint="eastAsia" w:ascii="宋体" w:hAnsi="宋体"/>
          <w:color w:val="auto"/>
          <w:szCs w:val="21"/>
          <w:highlight w:val="none"/>
        </w:rPr>
        <w:t xml:space="preserve">100</w:t>
      </w:r>
      <w:r>
        <w:rPr>
          <w:rFonts w:hint="eastAsia" w:ascii="宋体" w:hAnsi="宋体" w:cs="宋体"/>
          <w:color w:val="auto"/>
          <w:szCs w:val="21"/>
          <w:highlight w:val="none"/>
        </w:rPr>
        <w:t xml:space="preserve">万元以下的为微型企业。</w:t>
      </w:r>
      <w:r>
        <w:rPr>
          <w:rFonts w:hint="eastAsia" w:ascii="宋体" w:hAnsi="宋体"/>
          <w:color w:val="auto"/>
          <w:szCs w:val="21"/>
          <w:highlight w:val="none"/>
        </w:rPr>
        <w:br/>
      </w:r>
      <w:r>
        <w:rPr>
          <w:rFonts w:hint="eastAsia" w:ascii="宋体" w:hAnsi="宋体" w:cs="宋体"/>
          <w:color w:val="auto"/>
          <w:szCs w:val="21"/>
          <w:highlight w:val="none"/>
        </w:rPr>
        <w:t xml:space="preserve">　　（十）餐饮业。从业人员</w:t>
      </w:r>
      <w:r>
        <w:rPr>
          <w:rFonts w:hint="eastAsia" w:ascii="宋体" w:hAnsi="宋体"/>
          <w:color w:val="auto"/>
          <w:szCs w:val="21"/>
          <w:highlight w:val="none"/>
        </w:rPr>
        <w:t xml:space="preserve">300</w:t>
      </w:r>
      <w:r>
        <w:rPr>
          <w:rFonts w:hint="eastAsia" w:ascii="宋体" w:hAnsi="宋体" w:cs="宋体"/>
          <w:color w:val="auto"/>
          <w:szCs w:val="21"/>
          <w:highlight w:val="none"/>
        </w:rPr>
        <w:t xml:space="preserve">人以下或营业收入</w:t>
      </w:r>
      <w:r>
        <w:rPr>
          <w:rFonts w:hint="eastAsia" w:ascii="宋体" w:hAnsi="宋体"/>
          <w:color w:val="auto"/>
          <w:szCs w:val="21"/>
          <w:highlight w:val="none"/>
        </w:rPr>
        <w:t xml:space="preserve">10000</w:t>
      </w:r>
      <w:r>
        <w:rPr>
          <w:rFonts w:hint="eastAsia" w:ascii="宋体" w:hAnsi="宋体" w:cs="宋体"/>
          <w:color w:val="auto"/>
          <w:szCs w:val="21"/>
          <w:highlight w:val="none"/>
        </w:rPr>
        <w:t xml:space="preserve">万元以下的为中小微型企业。其中，从业人员</w:t>
      </w:r>
      <w:r>
        <w:rPr>
          <w:rFonts w:hint="eastAsia" w:ascii="宋体" w:hAnsi="宋体"/>
          <w:color w:val="auto"/>
          <w:szCs w:val="21"/>
          <w:highlight w:val="none"/>
        </w:rPr>
        <w:t xml:space="preserve">100</w:t>
      </w:r>
      <w:r>
        <w:rPr>
          <w:rFonts w:hint="eastAsia" w:ascii="宋体" w:hAnsi="宋体" w:cs="宋体"/>
          <w:color w:val="auto"/>
          <w:szCs w:val="21"/>
          <w:highlight w:val="none"/>
        </w:rPr>
        <w:t xml:space="preserve">人及以上，且营业收入</w:t>
      </w:r>
      <w:r>
        <w:rPr>
          <w:rFonts w:hint="eastAsia" w:ascii="宋体" w:hAnsi="宋体"/>
          <w:color w:val="auto"/>
          <w:szCs w:val="21"/>
          <w:highlight w:val="none"/>
        </w:rPr>
        <w:t xml:space="preserve">2000</w:t>
      </w:r>
      <w:r>
        <w:rPr>
          <w:rFonts w:hint="eastAsia" w:ascii="宋体" w:hAnsi="宋体" w:cs="宋体"/>
          <w:color w:val="auto"/>
          <w:szCs w:val="21"/>
          <w:highlight w:val="none"/>
        </w:rPr>
        <w:t xml:space="preserve">万元及以上的为中型企业；从业人员</w:t>
      </w:r>
      <w:r>
        <w:rPr>
          <w:rFonts w:hint="eastAsia" w:ascii="宋体" w:hAnsi="宋体"/>
          <w:color w:val="auto"/>
          <w:szCs w:val="21"/>
          <w:highlight w:val="none"/>
        </w:rPr>
        <w:t xml:space="preserve">10</w:t>
      </w:r>
      <w:r>
        <w:rPr>
          <w:rFonts w:hint="eastAsia" w:ascii="宋体" w:hAnsi="宋体" w:cs="宋体"/>
          <w:color w:val="auto"/>
          <w:szCs w:val="21"/>
          <w:highlight w:val="none"/>
        </w:rPr>
        <w:t xml:space="preserve">人及以上，且营业收入</w:t>
      </w:r>
      <w:r>
        <w:rPr>
          <w:rFonts w:hint="eastAsia" w:ascii="宋体" w:hAnsi="宋体"/>
          <w:color w:val="auto"/>
          <w:szCs w:val="21"/>
          <w:highlight w:val="none"/>
        </w:rPr>
        <w:t xml:space="preserve">100</w:t>
      </w:r>
      <w:r>
        <w:rPr>
          <w:rFonts w:hint="eastAsia" w:ascii="宋体" w:hAnsi="宋体" w:cs="宋体"/>
          <w:color w:val="auto"/>
          <w:szCs w:val="21"/>
          <w:highlight w:val="none"/>
        </w:rPr>
        <w:t xml:space="preserve">万元及以上的为小型企业；从业人员</w:t>
      </w:r>
      <w:r>
        <w:rPr>
          <w:rFonts w:hint="eastAsia" w:ascii="宋体" w:hAnsi="宋体"/>
          <w:color w:val="auto"/>
          <w:szCs w:val="21"/>
          <w:highlight w:val="none"/>
        </w:rPr>
        <w:t xml:space="preserve">10</w:t>
      </w:r>
      <w:r>
        <w:rPr>
          <w:rFonts w:hint="eastAsia" w:ascii="宋体" w:hAnsi="宋体" w:cs="宋体"/>
          <w:color w:val="auto"/>
          <w:szCs w:val="21"/>
          <w:highlight w:val="none"/>
        </w:rPr>
        <w:t xml:space="preserve">人以下或营业收入</w:t>
      </w:r>
      <w:r>
        <w:rPr>
          <w:rFonts w:hint="eastAsia" w:ascii="宋体" w:hAnsi="宋体"/>
          <w:color w:val="auto"/>
          <w:szCs w:val="21"/>
          <w:highlight w:val="none"/>
        </w:rPr>
        <w:t xml:space="preserve">100</w:t>
      </w:r>
      <w:r>
        <w:rPr>
          <w:rFonts w:hint="eastAsia" w:ascii="宋体" w:hAnsi="宋体" w:cs="宋体"/>
          <w:color w:val="auto"/>
          <w:szCs w:val="21"/>
          <w:highlight w:val="none"/>
        </w:rPr>
        <w:t xml:space="preserve">万元以下的为微型企业。</w:t>
      </w:r>
      <w:r>
        <w:rPr>
          <w:rFonts w:hint="eastAsia" w:ascii="宋体" w:hAnsi="宋体"/>
          <w:color w:val="auto"/>
          <w:szCs w:val="21"/>
          <w:highlight w:val="none"/>
        </w:rPr>
        <w:br/>
      </w:r>
      <w:r>
        <w:rPr>
          <w:rFonts w:hint="eastAsia" w:ascii="宋体" w:hAnsi="宋体" w:cs="宋体"/>
          <w:color w:val="auto"/>
          <w:szCs w:val="21"/>
          <w:highlight w:val="none"/>
        </w:rPr>
        <w:t xml:space="preserve">　　（十一）信息传输业。从业人员</w:t>
      </w:r>
      <w:r>
        <w:rPr>
          <w:rFonts w:hint="eastAsia" w:ascii="宋体" w:hAnsi="宋体"/>
          <w:color w:val="auto"/>
          <w:szCs w:val="21"/>
          <w:highlight w:val="none"/>
        </w:rPr>
        <w:t xml:space="preserve">2000</w:t>
      </w:r>
      <w:r>
        <w:rPr>
          <w:rFonts w:hint="eastAsia" w:ascii="宋体" w:hAnsi="宋体" w:cs="宋体"/>
          <w:color w:val="auto"/>
          <w:szCs w:val="21"/>
          <w:highlight w:val="none"/>
        </w:rPr>
        <w:t xml:space="preserve">人以下或营业收入</w:t>
      </w:r>
      <w:r>
        <w:rPr>
          <w:rFonts w:hint="eastAsia" w:ascii="宋体" w:hAnsi="宋体"/>
          <w:color w:val="auto"/>
          <w:szCs w:val="21"/>
          <w:highlight w:val="none"/>
        </w:rPr>
        <w:t xml:space="preserve">100000</w:t>
      </w:r>
      <w:r>
        <w:rPr>
          <w:rFonts w:hint="eastAsia" w:ascii="宋体" w:hAnsi="宋体" w:cs="宋体"/>
          <w:color w:val="auto"/>
          <w:szCs w:val="21"/>
          <w:highlight w:val="none"/>
        </w:rPr>
        <w:t xml:space="preserve">万元以下的为中小微型企业。其中，从业人员</w:t>
      </w:r>
      <w:r>
        <w:rPr>
          <w:rFonts w:hint="eastAsia" w:ascii="宋体" w:hAnsi="宋体"/>
          <w:color w:val="auto"/>
          <w:szCs w:val="21"/>
          <w:highlight w:val="none"/>
        </w:rPr>
        <w:t xml:space="preserve">100</w:t>
      </w:r>
      <w:r>
        <w:rPr>
          <w:rFonts w:hint="eastAsia" w:ascii="宋体" w:hAnsi="宋体" w:cs="宋体"/>
          <w:color w:val="auto"/>
          <w:szCs w:val="21"/>
          <w:highlight w:val="none"/>
        </w:rPr>
        <w:t xml:space="preserve">人及以上，且营业收入</w:t>
      </w:r>
      <w:r>
        <w:rPr>
          <w:rFonts w:hint="eastAsia" w:ascii="宋体" w:hAnsi="宋体"/>
          <w:color w:val="auto"/>
          <w:szCs w:val="21"/>
          <w:highlight w:val="none"/>
        </w:rPr>
        <w:t xml:space="preserve">1000</w:t>
      </w:r>
      <w:r>
        <w:rPr>
          <w:rFonts w:hint="eastAsia" w:ascii="宋体" w:hAnsi="宋体" w:cs="宋体"/>
          <w:color w:val="auto"/>
          <w:szCs w:val="21"/>
          <w:highlight w:val="none"/>
        </w:rPr>
        <w:t xml:space="preserve">万元及以上的为中型企业；从业人员</w:t>
      </w:r>
      <w:r>
        <w:rPr>
          <w:rFonts w:hint="eastAsia" w:ascii="宋体" w:hAnsi="宋体"/>
          <w:color w:val="auto"/>
          <w:szCs w:val="21"/>
          <w:highlight w:val="none"/>
        </w:rPr>
        <w:t xml:space="preserve">10</w:t>
      </w:r>
      <w:r>
        <w:rPr>
          <w:rFonts w:hint="eastAsia" w:ascii="宋体" w:hAnsi="宋体" w:cs="宋体"/>
          <w:color w:val="auto"/>
          <w:szCs w:val="21"/>
          <w:highlight w:val="none"/>
        </w:rPr>
        <w:t xml:space="preserve">人及以上，且营业收入</w:t>
      </w:r>
      <w:r>
        <w:rPr>
          <w:rFonts w:hint="eastAsia" w:ascii="宋体" w:hAnsi="宋体"/>
          <w:color w:val="auto"/>
          <w:szCs w:val="21"/>
          <w:highlight w:val="none"/>
        </w:rPr>
        <w:t xml:space="preserve">100</w:t>
      </w:r>
      <w:r>
        <w:rPr>
          <w:rFonts w:hint="eastAsia" w:ascii="宋体" w:hAnsi="宋体" w:cs="宋体"/>
          <w:color w:val="auto"/>
          <w:szCs w:val="21"/>
          <w:highlight w:val="none"/>
        </w:rPr>
        <w:t xml:space="preserve">万元及以上的为小型企业；从业人员</w:t>
      </w:r>
      <w:r>
        <w:rPr>
          <w:rFonts w:hint="eastAsia" w:ascii="宋体" w:hAnsi="宋体"/>
          <w:color w:val="auto"/>
          <w:szCs w:val="21"/>
          <w:highlight w:val="none"/>
        </w:rPr>
        <w:t xml:space="preserve">10</w:t>
      </w:r>
      <w:r>
        <w:rPr>
          <w:rFonts w:hint="eastAsia" w:ascii="宋体" w:hAnsi="宋体" w:cs="宋体"/>
          <w:color w:val="auto"/>
          <w:szCs w:val="21"/>
          <w:highlight w:val="none"/>
        </w:rPr>
        <w:t xml:space="preserve">人以下或营业收入</w:t>
      </w:r>
      <w:r>
        <w:rPr>
          <w:rFonts w:hint="eastAsia" w:ascii="宋体" w:hAnsi="宋体"/>
          <w:color w:val="auto"/>
          <w:szCs w:val="21"/>
          <w:highlight w:val="none"/>
        </w:rPr>
        <w:t xml:space="preserve">100</w:t>
      </w:r>
      <w:r>
        <w:rPr>
          <w:rFonts w:hint="eastAsia" w:ascii="宋体" w:hAnsi="宋体" w:cs="宋体"/>
          <w:color w:val="auto"/>
          <w:szCs w:val="21"/>
          <w:highlight w:val="none"/>
        </w:rPr>
        <w:t xml:space="preserve">万元以下的为微型企业。</w:t>
      </w:r>
      <w:r>
        <w:rPr>
          <w:rFonts w:hint="eastAsia" w:ascii="宋体" w:hAnsi="宋体"/>
          <w:color w:val="auto"/>
          <w:szCs w:val="21"/>
          <w:highlight w:val="none"/>
        </w:rPr>
        <w:br/>
      </w:r>
      <w:r>
        <w:rPr>
          <w:rFonts w:hint="eastAsia" w:ascii="宋体" w:hAnsi="宋体" w:cs="宋体"/>
          <w:color w:val="auto"/>
          <w:szCs w:val="21"/>
          <w:highlight w:val="none"/>
        </w:rPr>
        <w:t xml:space="preserve">　　（十二）软件和信息技术服务业。从业人员</w:t>
      </w:r>
      <w:r>
        <w:rPr>
          <w:rFonts w:hint="eastAsia" w:ascii="宋体" w:hAnsi="宋体"/>
          <w:color w:val="auto"/>
          <w:szCs w:val="21"/>
          <w:highlight w:val="none"/>
        </w:rPr>
        <w:t xml:space="preserve">300</w:t>
      </w:r>
      <w:r>
        <w:rPr>
          <w:rFonts w:hint="eastAsia" w:ascii="宋体" w:hAnsi="宋体" w:cs="宋体"/>
          <w:color w:val="auto"/>
          <w:szCs w:val="21"/>
          <w:highlight w:val="none"/>
        </w:rPr>
        <w:t xml:space="preserve">人以下或营业收入</w:t>
      </w:r>
      <w:r>
        <w:rPr>
          <w:rFonts w:hint="eastAsia" w:ascii="宋体" w:hAnsi="宋体"/>
          <w:color w:val="auto"/>
          <w:szCs w:val="21"/>
          <w:highlight w:val="none"/>
        </w:rPr>
        <w:t xml:space="preserve">10000</w:t>
      </w:r>
      <w:r>
        <w:rPr>
          <w:rFonts w:hint="eastAsia" w:ascii="宋体" w:hAnsi="宋体" w:cs="宋体"/>
          <w:color w:val="auto"/>
          <w:szCs w:val="21"/>
          <w:highlight w:val="none"/>
        </w:rPr>
        <w:t xml:space="preserve">万元以下的为中小微型企业。其中，从业人员</w:t>
      </w:r>
      <w:r>
        <w:rPr>
          <w:rFonts w:hint="eastAsia" w:ascii="宋体" w:hAnsi="宋体"/>
          <w:color w:val="auto"/>
          <w:szCs w:val="21"/>
          <w:highlight w:val="none"/>
        </w:rPr>
        <w:t xml:space="preserve">100</w:t>
      </w:r>
      <w:r>
        <w:rPr>
          <w:rFonts w:hint="eastAsia" w:ascii="宋体" w:hAnsi="宋体" w:cs="宋体"/>
          <w:color w:val="auto"/>
          <w:szCs w:val="21"/>
          <w:highlight w:val="none"/>
        </w:rPr>
        <w:t xml:space="preserve">人及以上，且营业收入</w:t>
      </w:r>
      <w:r>
        <w:rPr>
          <w:rFonts w:hint="eastAsia" w:ascii="宋体" w:hAnsi="宋体"/>
          <w:color w:val="auto"/>
          <w:szCs w:val="21"/>
          <w:highlight w:val="none"/>
        </w:rPr>
        <w:t xml:space="preserve">1000</w:t>
      </w:r>
      <w:r>
        <w:rPr>
          <w:rFonts w:hint="eastAsia" w:ascii="宋体" w:hAnsi="宋体" w:cs="宋体"/>
          <w:color w:val="auto"/>
          <w:szCs w:val="21"/>
          <w:highlight w:val="none"/>
        </w:rPr>
        <w:t xml:space="preserve">万元及以上的为中型企业；从业人员</w:t>
      </w:r>
      <w:r>
        <w:rPr>
          <w:rFonts w:hint="eastAsia" w:ascii="宋体" w:hAnsi="宋体"/>
          <w:color w:val="auto"/>
          <w:szCs w:val="21"/>
          <w:highlight w:val="none"/>
        </w:rPr>
        <w:t xml:space="preserve">10</w:t>
      </w:r>
      <w:r>
        <w:rPr>
          <w:rFonts w:hint="eastAsia" w:ascii="宋体" w:hAnsi="宋体" w:cs="宋体"/>
          <w:color w:val="auto"/>
          <w:szCs w:val="21"/>
          <w:highlight w:val="none"/>
        </w:rPr>
        <w:t xml:space="preserve">人及以上，且营业收入</w:t>
      </w:r>
      <w:r>
        <w:rPr>
          <w:rFonts w:hint="eastAsia" w:ascii="宋体" w:hAnsi="宋体"/>
          <w:color w:val="auto"/>
          <w:szCs w:val="21"/>
          <w:highlight w:val="none"/>
        </w:rPr>
        <w:t xml:space="preserve">50</w:t>
      </w:r>
      <w:r>
        <w:rPr>
          <w:rFonts w:hint="eastAsia" w:ascii="宋体" w:hAnsi="宋体" w:cs="宋体"/>
          <w:color w:val="auto"/>
          <w:szCs w:val="21"/>
          <w:highlight w:val="none"/>
        </w:rPr>
        <w:t xml:space="preserve">万元及以上的为小型企业；从业人员</w:t>
      </w:r>
      <w:r>
        <w:rPr>
          <w:rFonts w:hint="eastAsia" w:ascii="宋体" w:hAnsi="宋体"/>
          <w:color w:val="auto"/>
          <w:szCs w:val="21"/>
          <w:highlight w:val="none"/>
        </w:rPr>
        <w:t xml:space="preserve">10</w:t>
      </w:r>
      <w:r>
        <w:rPr>
          <w:rFonts w:hint="eastAsia" w:ascii="宋体" w:hAnsi="宋体" w:cs="宋体"/>
          <w:color w:val="auto"/>
          <w:szCs w:val="21"/>
          <w:highlight w:val="none"/>
        </w:rPr>
        <w:t xml:space="preserve">人以下或营业收入</w:t>
      </w:r>
      <w:r>
        <w:rPr>
          <w:rFonts w:hint="eastAsia" w:ascii="宋体" w:hAnsi="宋体"/>
          <w:color w:val="auto"/>
          <w:szCs w:val="21"/>
          <w:highlight w:val="none"/>
        </w:rPr>
        <w:t xml:space="preserve">50</w:t>
      </w:r>
      <w:r>
        <w:rPr>
          <w:rFonts w:hint="eastAsia" w:ascii="宋体" w:hAnsi="宋体" w:cs="宋体"/>
          <w:color w:val="auto"/>
          <w:szCs w:val="21"/>
          <w:highlight w:val="none"/>
        </w:rPr>
        <w:t xml:space="preserve">万元以下的为微型企业。</w:t>
      </w:r>
      <w:r>
        <w:rPr>
          <w:rFonts w:hint="eastAsia" w:ascii="宋体" w:hAnsi="宋体"/>
          <w:color w:val="auto"/>
          <w:szCs w:val="21"/>
          <w:highlight w:val="none"/>
        </w:rPr>
        <w:br/>
      </w:r>
      <w:r>
        <w:rPr>
          <w:rFonts w:hint="eastAsia" w:ascii="宋体" w:hAnsi="宋体" w:cs="宋体"/>
          <w:color w:val="auto"/>
          <w:szCs w:val="21"/>
          <w:highlight w:val="none"/>
        </w:rPr>
        <w:t xml:space="preserve">　　（十三）房地产开发经营。营业收入</w:t>
      </w:r>
      <w:r>
        <w:rPr>
          <w:rFonts w:hint="eastAsia" w:ascii="宋体" w:hAnsi="宋体"/>
          <w:color w:val="auto"/>
          <w:szCs w:val="21"/>
          <w:highlight w:val="none"/>
        </w:rPr>
        <w:t xml:space="preserve">200000</w:t>
      </w:r>
      <w:r>
        <w:rPr>
          <w:rFonts w:hint="eastAsia" w:ascii="宋体" w:hAnsi="宋体" w:cs="宋体"/>
          <w:color w:val="auto"/>
          <w:szCs w:val="21"/>
          <w:highlight w:val="none"/>
        </w:rPr>
        <w:t xml:space="preserve">万元以下或资产总额</w:t>
      </w:r>
      <w:r>
        <w:rPr>
          <w:rFonts w:hint="eastAsia" w:ascii="宋体" w:hAnsi="宋体"/>
          <w:color w:val="auto"/>
          <w:szCs w:val="21"/>
          <w:highlight w:val="none"/>
        </w:rPr>
        <w:t xml:space="preserve">10000</w:t>
      </w:r>
      <w:r>
        <w:rPr>
          <w:rFonts w:hint="eastAsia" w:ascii="宋体" w:hAnsi="宋体" w:cs="宋体"/>
          <w:color w:val="auto"/>
          <w:szCs w:val="21"/>
          <w:highlight w:val="none"/>
        </w:rPr>
        <w:t xml:space="preserve">万元以下的为中小微型企业。其中，营业收入</w:t>
      </w:r>
      <w:r>
        <w:rPr>
          <w:rFonts w:hint="eastAsia" w:ascii="宋体" w:hAnsi="宋体"/>
          <w:color w:val="auto"/>
          <w:szCs w:val="21"/>
          <w:highlight w:val="none"/>
        </w:rPr>
        <w:t xml:space="preserve">1000</w:t>
      </w:r>
      <w:r>
        <w:rPr>
          <w:rFonts w:hint="eastAsia" w:ascii="宋体" w:hAnsi="宋体" w:cs="宋体"/>
          <w:color w:val="auto"/>
          <w:szCs w:val="21"/>
          <w:highlight w:val="none"/>
        </w:rPr>
        <w:t xml:space="preserve">万元及以上，且资产总额</w:t>
      </w:r>
      <w:r>
        <w:rPr>
          <w:rFonts w:hint="eastAsia" w:ascii="宋体" w:hAnsi="宋体"/>
          <w:color w:val="auto"/>
          <w:szCs w:val="21"/>
          <w:highlight w:val="none"/>
        </w:rPr>
        <w:t xml:space="preserve">5000</w:t>
      </w:r>
      <w:r>
        <w:rPr>
          <w:rFonts w:hint="eastAsia" w:ascii="宋体" w:hAnsi="宋体" w:cs="宋体"/>
          <w:color w:val="auto"/>
          <w:szCs w:val="21"/>
          <w:highlight w:val="none"/>
        </w:rPr>
        <w:t xml:space="preserve">万元及以上的为中型企业；营业收入</w:t>
      </w:r>
      <w:r>
        <w:rPr>
          <w:rFonts w:hint="eastAsia" w:ascii="宋体" w:hAnsi="宋体"/>
          <w:color w:val="auto"/>
          <w:szCs w:val="21"/>
          <w:highlight w:val="none"/>
        </w:rPr>
        <w:t xml:space="preserve">100</w:t>
      </w:r>
      <w:r>
        <w:rPr>
          <w:rFonts w:hint="eastAsia" w:ascii="宋体" w:hAnsi="宋体" w:cs="宋体"/>
          <w:color w:val="auto"/>
          <w:szCs w:val="21"/>
          <w:highlight w:val="none"/>
        </w:rPr>
        <w:t xml:space="preserve">万元及以上，且资产总额</w:t>
      </w:r>
      <w:r>
        <w:rPr>
          <w:rFonts w:hint="eastAsia" w:ascii="宋体" w:hAnsi="宋体"/>
          <w:color w:val="auto"/>
          <w:szCs w:val="21"/>
          <w:highlight w:val="none"/>
        </w:rPr>
        <w:t xml:space="preserve">2000</w:t>
      </w:r>
      <w:r>
        <w:rPr>
          <w:rFonts w:hint="eastAsia" w:ascii="宋体" w:hAnsi="宋体" w:cs="宋体"/>
          <w:color w:val="auto"/>
          <w:szCs w:val="21"/>
          <w:highlight w:val="none"/>
        </w:rPr>
        <w:t xml:space="preserve">万元及以上的为小型企业；营业收入</w:t>
      </w:r>
      <w:r>
        <w:rPr>
          <w:rFonts w:hint="eastAsia" w:ascii="宋体" w:hAnsi="宋体"/>
          <w:color w:val="auto"/>
          <w:szCs w:val="21"/>
          <w:highlight w:val="none"/>
        </w:rPr>
        <w:t xml:space="preserve">100</w:t>
      </w:r>
      <w:r>
        <w:rPr>
          <w:rFonts w:hint="eastAsia" w:ascii="宋体" w:hAnsi="宋体" w:cs="宋体"/>
          <w:color w:val="auto"/>
          <w:szCs w:val="21"/>
          <w:highlight w:val="none"/>
        </w:rPr>
        <w:t xml:space="preserve">万元以下或资产总额</w:t>
      </w:r>
      <w:r>
        <w:rPr>
          <w:rFonts w:hint="eastAsia" w:ascii="宋体" w:hAnsi="宋体"/>
          <w:color w:val="auto"/>
          <w:szCs w:val="21"/>
          <w:highlight w:val="none"/>
        </w:rPr>
        <w:t xml:space="preserve">2000</w:t>
      </w:r>
      <w:r>
        <w:rPr>
          <w:rFonts w:hint="eastAsia" w:ascii="宋体" w:hAnsi="宋体" w:cs="宋体"/>
          <w:color w:val="auto"/>
          <w:szCs w:val="21"/>
          <w:highlight w:val="none"/>
        </w:rPr>
        <w:t xml:space="preserve">万元以下的为微型企业。</w:t>
      </w:r>
      <w:r>
        <w:rPr>
          <w:rFonts w:hint="eastAsia" w:ascii="宋体" w:hAnsi="宋体"/>
          <w:color w:val="auto"/>
          <w:szCs w:val="21"/>
          <w:highlight w:val="none"/>
        </w:rPr>
        <w:br/>
      </w:r>
      <w:r>
        <w:rPr>
          <w:rFonts w:hint="eastAsia" w:ascii="宋体" w:hAnsi="宋体" w:cs="宋体"/>
          <w:color w:val="auto"/>
          <w:szCs w:val="21"/>
          <w:highlight w:val="none"/>
        </w:rPr>
        <w:t xml:space="preserve">　　（十四）物业管理。从业人员</w:t>
      </w:r>
      <w:r>
        <w:rPr>
          <w:rFonts w:hint="eastAsia" w:ascii="宋体" w:hAnsi="宋体"/>
          <w:color w:val="auto"/>
          <w:szCs w:val="21"/>
          <w:highlight w:val="none"/>
        </w:rPr>
        <w:t xml:space="preserve">1000</w:t>
      </w:r>
      <w:r>
        <w:rPr>
          <w:rFonts w:hint="eastAsia" w:ascii="宋体" w:hAnsi="宋体" w:cs="宋体"/>
          <w:color w:val="auto"/>
          <w:szCs w:val="21"/>
          <w:highlight w:val="none"/>
        </w:rPr>
        <w:t xml:space="preserve">人以下或营业收入</w:t>
      </w:r>
      <w:r>
        <w:rPr>
          <w:rFonts w:hint="eastAsia" w:ascii="宋体" w:hAnsi="宋体"/>
          <w:color w:val="auto"/>
          <w:szCs w:val="21"/>
          <w:highlight w:val="none"/>
        </w:rPr>
        <w:t xml:space="preserve">5000</w:t>
      </w:r>
      <w:r>
        <w:rPr>
          <w:rFonts w:hint="eastAsia" w:ascii="宋体" w:hAnsi="宋体" w:cs="宋体"/>
          <w:color w:val="auto"/>
          <w:szCs w:val="21"/>
          <w:highlight w:val="none"/>
        </w:rPr>
        <w:t xml:space="preserve">万元以下的为中小微型企业。其中，从业人员</w:t>
      </w:r>
      <w:r>
        <w:rPr>
          <w:rFonts w:hint="eastAsia" w:ascii="宋体" w:hAnsi="宋体"/>
          <w:color w:val="auto"/>
          <w:szCs w:val="21"/>
          <w:highlight w:val="none"/>
        </w:rPr>
        <w:t xml:space="preserve">300</w:t>
      </w:r>
      <w:r>
        <w:rPr>
          <w:rFonts w:hint="eastAsia" w:ascii="宋体" w:hAnsi="宋体" w:cs="宋体"/>
          <w:color w:val="auto"/>
          <w:szCs w:val="21"/>
          <w:highlight w:val="none"/>
        </w:rPr>
        <w:t xml:space="preserve">人及以上，且营业收入</w:t>
      </w:r>
      <w:r>
        <w:rPr>
          <w:rFonts w:hint="eastAsia" w:ascii="宋体" w:hAnsi="宋体"/>
          <w:color w:val="auto"/>
          <w:szCs w:val="21"/>
          <w:highlight w:val="none"/>
        </w:rPr>
        <w:t xml:space="preserve">1000</w:t>
      </w:r>
      <w:r>
        <w:rPr>
          <w:rFonts w:hint="eastAsia" w:ascii="宋体" w:hAnsi="宋体" w:cs="宋体"/>
          <w:color w:val="auto"/>
          <w:szCs w:val="21"/>
          <w:highlight w:val="none"/>
        </w:rPr>
        <w:t xml:space="preserve">万元及以上的为中型企业；从业人员</w:t>
      </w:r>
      <w:r>
        <w:rPr>
          <w:rFonts w:hint="eastAsia" w:ascii="宋体" w:hAnsi="宋体"/>
          <w:color w:val="auto"/>
          <w:szCs w:val="21"/>
          <w:highlight w:val="none"/>
        </w:rPr>
        <w:t xml:space="preserve">100</w:t>
      </w:r>
      <w:r>
        <w:rPr>
          <w:rFonts w:hint="eastAsia" w:ascii="宋体" w:hAnsi="宋体" w:cs="宋体"/>
          <w:color w:val="auto"/>
          <w:szCs w:val="21"/>
          <w:highlight w:val="none"/>
        </w:rPr>
        <w:t xml:space="preserve">人及以上，且营业收入</w:t>
      </w:r>
      <w:r>
        <w:rPr>
          <w:rFonts w:hint="eastAsia" w:ascii="宋体" w:hAnsi="宋体"/>
          <w:color w:val="auto"/>
          <w:szCs w:val="21"/>
          <w:highlight w:val="none"/>
        </w:rPr>
        <w:t xml:space="preserve">500</w:t>
      </w:r>
      <w:r>
        <w:rPr>
          <w:rFonts w:hint="eastAsia" w:ascii="宋体" w:hAnsi="宋体" w:cs="宋体"/>
          <w:color w:val="auto"/>
          <w:szCs w:val="21"/>
          <w:highlight w:val="none"/>
        </w:rPr>
        <w:t xml:space="preserve">万元及以上的为小型企业；从业人员</w:t>
      </w:r>
      <w:r>
        <w:rPr>
          <w:rFonts w:hint="eastAsia" w:ascii="宋体" w:hAnsi="宋体"/>
          <w:color w:val="auto"/>
          <w:szCs w:val="21"/>
          <w:highlight w:val="none"/>
        </w:rPr>
        <w:t xml:space="preserve">100</w:t>
      </w:r>
      <w:r>
        <w:rPr>
          <w:rFonts w:hint="eastAsia" w:ascii="宋体" w:hAnsi="宋体" w:cs="宋体"/>
          <w:color w:val="auto"/>
          <w:szCs w:val="21"/>
          <w:highlight w:val="none"/>
        </w:rPr>
        <w:t xml:space="preserve">人以下或营业收入</w:t>
      </w:r>
      <w:r>
        <w:rPr>
          <w:rFonts w:hint="eastAsia" w:ascii="宋体" w:hAnsi="宋体"/>
          <w:color w:val="auto"/>
          <w:szCs w:val="21"/>
          <w:highlight w:val="none"/>
        </w:rPr>
        <w:t xml:space="preserve">500</w:t>
      </w:r>
      <w:r>
        <w:rPr>
          <w:rFonts w:hint="eastAsia" w:ascii="宋体" w:hAnsi="宋体" w:cs="宋体"/>
          <w:color w:val="auto"/>
          <w:szCs w:val="21"/>
          <w:highlight w:val="none"/>
        </w:rPr>
        <w:t xml:space="preserve">万元以下的为微型企业。</w:t>
      </w:r>
      <w:r>
        <w:rPr>
          <w:rFonts w:hint="eastAsia" w:ascii="宋体" w:hAnsi="宋体"/>
          <w:color w:val="auto"/>
          <w:szCs w:val="21"/>
          <w:highlight w:val="none"/>
        </w:rPr>
        <w:br/>
      </w:r>
      <w:r>
        <w:rPr>
          <w:rFonts w:hint="eastAsia" w:ascii="宋体" w:hAnsi="宋体" w:cs="宋体"/>
          <w:color w:val="auto"/>
          <w:szCs w:val="21"/>
          <w:highlight w:val="none"/>
        </w:rPr>
        <w:t xml:space="preserve">　　（十五）租赁和商务服务业。从业人员</w:t>
      </w:r>
      <w:r>
        <w:rPr>
          <w:rFonts w:hint="eastAsia" w:ascii="宋体" w:hAnsi="宋体"/>
          <w:color w:val="auto"/>
          <w:szCs w:val="21"/>
          <w:highlight w:val="none"/>
        </w:rPr>
        <w:t xml:space="preserve">300</w:t>
      </w:r>
      <w:r>
        <w:rPr>
          <w:rFonts w:hint="eastAsia" w:ascii="宋体" w:hAnsi="宋体" w:cs="宋体"/>
          <w:color w:val="auto"/>
          <w:szCs w:val="21"/>
          <w:highlight w:val="none"/>
        </w:rPr>
        <w:t xml:space="preserve">人以下或资产总额</w:t>
      </w:r>
      <w:r>
        <w:rPr>
          <w:rFonts w:hint="eastAsia" w:ascii="宋体" w:hAnsi="宋体"/>
          <w:color w:val="auto"/>
          <w:szCs w:val="21"/>
          <w:highlight w:val="none"/>
        </w:rPr>
        <w:t xml:space="preserve">120000</w:t>
      </w:r>
      <w:r>
        <w:rPr>
          <w:rFonts w:hint="eastAsia" w:ascii="宋体" w:hAnsi="宋体" w:cs="宋体"/>
          <w:color w:val="auto"/>
          <w:szCs w:val="21"/>
          <w:highlight w:val="none"/>
        </w:rPr>
        <w:t xml:space="preserve">万元以下的为中小微型企业。其中，从业人员</w:t>
      </w:r>
      <w:r>
        <w:rPr>
          <w:rFonts w:hint="eastAsia" w:ascii="宋体" w:hAnsi="宋体"/>
          <w:color w:val="auto"/>
          <w:szCs w:val="21"/>
          <w:highlight w:val="none"/>
        </w:rPr>
        <w:t xml:space="preserve">100</w:t>
      </w:r>
      <w:r>
        <w:rPr>
          <w:rFonts w:hint="eastAsia" w:ascii="宋体" w:hAnsi="宋体" w:cs="宋体"/>
          <w:color w:val="auto"/>
          <w:szCs w:val="21"/>
          <w:highlight w:val="none"/>
        </w:rPr>
        <w:t xml:space="preserve">人及以上，且资产总额</w:t>
      </w:r>
      <w:r>
        <w:rPr>
          <w:rFonts w:hint="eastAsia" w:ascii="宋体" w:hAnsi="宋体"/>
          <w:color w:val="auto"/>
          <w:szCs w:val="21"/>
          <w:highlight w:val="none"/>
        </w:rPr>
        <w:t xml:space="preserve">8000</w:t>
      </w:r>
      <w:r>
        <w:rPr>
          <w:rFonts w:hint="eastAsia" w:ascii="宋体" w:hAnsi="宋体" w:cs="宋体"/>
          <w:color w:val="auto"/>
          <w:szCs w:val="21"/>
          <w:highlight w:val="none"/>
        </w:rPr>
        <w:t xml:space="preserve">万元及以上的为中型企业；从业人员</w:t>
      </w:r>
      <w:r>
        <w:rPr>
          <w:rFonts w:hint="eastAsia" w:ascii="宋体" w:hAnsi="宋体"/>
          <w:color w:val="auto"/>
          <w:szCs w:val="21"/>
          <w:highlight w:val="none"/>
        </w:rPr>
        <w:t xml:space="preserve">10</w:t>
      </w:r>
      <w:r>
        <w:rPr>
          <w:rFonts w:hint="eastAsia" w:ascii="宋体" w:hAnsi="宋体" w:cs="宋体"/>
          <w:color w:val="auto"/>
          <w:szCs w:val="21"/>
          <w:highlight w:val="none"/>
        </w:rPr>
        <w:t xml:space="preserve">人及以上，且资产总额</w:t>
      </w:r>
      <w:r>
        <w:rPr>
          <w:rFonts w:hint="eastAsia" w:ascii="宋体" w:hAnsi="宋体"/>
          <w:color w:val="auto"/>
          <w:szCs w:val="21"/>
          <w:highlight w:val="none"/>
        </w:rPr>
        <w:t xml:space="preserve">100</w:t>
      </w:r>
      <w:r>
        <w:rPr>
          <w:rFonts w:hint="eastAsia" w:ascii="宋体" w:hAnsi="宋体" w:cs="宋体"/>
          <w:color w:val="auto"/>
          <w:szCs w:val="21"/>
          <w:highlight w:val="none"/>
        </w:rPr>
        <w:t xml:space="preserve">万元及以上的为小型企业；从业人员</w:t>
      </w:r>
      <w:r>
        <w:rPr>
          <w:rFonts w:hint="eastAsia" w:ascii="宋体" w:hAnsi="宋体"/>
          <w:color w:val="auto"/>
          <w:szCs w:val="21"/>
          <w:highlight w:val="none"/>
        </w:rPr>
        <w:t xml:space="preserve">10</w:t>
      </w:r>
      <w:r>
        <w:rPr>
          <w:rFonts w:hint="eastAsia" w:ascii="宋体" w:hAnsi="宋体" w:cs="宋体"/>
          <w:color w:val="auto"/>
          <w:szCs w:val="21"/>
          <w:highlight w:val="none"/>
        </w:rPr>
        <w:t xml:space="preserve">人以下或资产总额</w:t>
      </w:r>
      <w:r>
        <w:rPr>
          <w:rFonts w:hint="eastAsia" w:ascii="宋体" w:hAnsi="宋体"/>
          <w:color w:val="auto"/>
          <w:szCs w:val="21"/>
          <w:highlight w:val="none"/>
        </w:rPr>
        <w:t xml:space="preserve">100</w:t>
      </w:r>
      <w:r>
        <w:rPr>
          <w:rFonts w:hint="eastAsia" w:ascii="宋体" w:hAnsi="宋体" w:cs="宋体"/>
          <w:color w:val="auto"/>
          <w:szCs w:val="21"/>
          <w:highlight w:val="none"/>
        </w:rPr>
        <w:t xml:space="preserve">万元以下的为微型企业。</w:t>
      </w:r>
      <w:r>
        <w:rPr>
          <w:rFonts w:hint="eastAsia" w:ascii="宋体" w:hAnsi="宋体"/>
          <w:color w:val="auto"/>
          <w:szCs w:val="21"/>
          <w:highlight w:val="none"/>
        </w:rPr>
        <w:br/>
      </w:r>
      <w:r>
        <w:rPr>
          <w:rFonts w:hint="eastAsia" w:ascii="宋体" w:hAnsi="宋体" w:cs="宋体"/>
          <w:color w:val="auto"/>
          <w:szCs w:val="21"/>
          <w:highlight w:val="none"/>
        </w:rPr>
        <w:t xml:space="preserve">　　（十六）其他未列明行业。从业人员</w:t>
      </w:r>
      <w:r>
        <w:rPr>
          <w:rFonts w:hint="eastAsia" w:ascii="宋体" w:hAnsi="宋体"/>
          <w:color w:val="auto"/>
          <w:szCs w:val="21"/>
          <w:highlight w:val="none"/>
        </w:rPr>
        <w:t xml:space="preserve">300</w:t>
      </w:r>
      <w:r>
        <w:rPr>
          <w:rFonts w:hint="eastAsia" w:ascii="宋体" w:hAnsi="宋体" w:cs="宋体"/>
          <w:color w:val="auto"/>
          <w:szCs w:val="21"/>
          <w:highlight w:val="none"/>
        </w:rPr>
        <w:t xml:space="preserve">人以下的为中小微型企业。其中，从业人员</w:t>
      </w:r>
      <w:r>
        <w:rPr>
          <w:rFonts w:hint="eastAsia" w:ascii="宋体" w:hAnsi="宋体"/>
          <w:color w:val="auto"/>
          <w:szCs w:val="21"/>
          <w:highlight w:val="none"/>
        </w:rPr>
        <w:t xml:space="preserve">100</w:t>
      </w:r>
      <w:r>
        <w:rPr>
          <w:rFonts w:hint="eastAsia" w:ascii="宋体" w:hAnsi="宋体" w:cs="宋体"/>
          <w:color w:val="auto"/>
          <w:szCs w:val="21"/>
          <w:highlight w:val="none"/>
        </w:rPr>
        <w:t xml:space="preserve">人及以上的为中型企业；从业人员</w:t>
      </w:r>
      <w:r>
        <w:rPr>
          <w:rFonts w:hint="eastAsia" w:ascii="宋体" w:hAnsi="宋体"/>
          <w:color w:val="auto"/>
          <w:szCs w:val="21"/>
          <w:highlight w:val="none"/>
        </w:rPr>
        <w:t xml:space="preserve">10</w:t>
      </w:r>
      <w:r>
        <w:rPr>
          <w:rFonts w:hint="eastAsia" w:ascii="宋体" w:hAnsi="宋体" w:cs="宋体"/>
          <w:color w:val="auto"/>
          <w:szCs w:val="21"/>
          <w:highlight w:val="none"/>
        </w:rPr>
        <w:t xml:space="preserve">人及以上的为小型企业；从业人员</w:t>
      </w:r>
      <w:r>
        <w:rPr>
          <w:rFonts w:hint="eastAsia" w:ascii="宋体" w:hAnsi="宋体"/>
          <w:color w:val="auto"/>
          <w:szCs w:val="21"/>
          <w:highlight w:val="none"/>
        </w:rPr>
        <w:t xml:space="preserve">10</w:t>
      </w:r>
      <w:r>
        <w:rPr>
          <w:rFonts w:hint="eastAsia" w:ascii="宋体" w:hAnsi="宋体" w:cs="宋体"/>
          <w:color w:val="auto"/>
          <w:szCs w:val="21"/>
          <w:highlight w:val="none"/>
        </w:rPr>
        <w:t xml:space="preserve">人以下的为微型企业。</w:t>
      </w:r>
      <w:r>
        <w:rPr>
          <w:rFonts w:hint="eastAsia" w:ascii="宋体" w:hAnsi="宋体"/>
          <w:color w:val="auto"/>
          <w:szCs w:val="21"/>
          <w:highlight w:val="none"/>
        </w:rPr>
        <w:br/>
      </w:r>
      <w:r>
        <w:rPr>
          <w:rFonts w:hint="eastAsia" w:ascii="宋体" w:hAnsi="宋体" w:cs="宋体"/>
          <w:color w:val="auto"/>
          <w:szCs w:val="21"/>
          <w:highlight w:val="non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br w:type="page" w:clear="all"/>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pStyle w:val="898"/>
        <w:ind w:left="1470" w:right="1470"/>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cs="宋体"/>
          <w:b/>
          <w:bCs/>
          <w:color w:val="auto"/>
          <w:sz w:val="36"/>
          <w:szCs w:val="36"/>
          <w:highlight w:val="none"/>
        </w:rPr>
      </w:pPr>
      <w:r/>
      <w:bookmarkStart w:id="85" w:name="OLE_LINK13"/>
      <w:r/>
      <w:bookmarkStart w:id="86" w:name="OLE_LINK14"/>
      <w:r>
        <w:rPr>
          <w:rFonts w:hint="eastAsia" w:ascii="宋体" w:hAnsi="宋体" w:cs="宋体"/>
          <w:b/>
          <w:bCs/>
          <w:color w:val="auto"/>
          <w:sz w:val="36"/>
          <w:szCs w:val="36"/>
          <w:highlight w:val="none"/>
        </w:rPr>
        <w:t xml:space="preserve">残疾人福利性单位声明函</w:t>
      </w:r>
      <w:bookmarkEnd w:id="85"/>
      <w:r/>
      <w:bookmarkEnd w:id="86"/>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5040"/>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5040"/>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399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供应商（盖章）:</w:t>
      </w:r>
      <w:r>
        <w:rPr>
          <w:rFonts w:hint="eastAsia" w:ascii="宋体" w:hAnsi="宋体" w:cs="宋体"/>
          <w:color w:val="auto"/>
          <w:szCs w:val="21"/>
          <w:highlight w:val="none"/>
          <w:u w:val="single"/>
        </w:rPr>
        <w:t xml:space="preserve">            </w:t>
      </w:r>
      <w:r/>
    </w:p>
    <w:p>
      <w:pPr>
        <w:ind w:right="840" w:firstLine="399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   年    月    日</w:t>
      </w:r>
      <w:r/>
    </w:p>
    <w:p>
      <w:pPr>
        <w:pStyle w:val="898"/>
        <w:ind w:left="1470" w:right="1470"/>
        <w:spacing w:line="360" w:lineRule="auto"/>
        <w:rPr>
          <w:color w:val="auto"/>
          <w:highlight w:val="none"/>
        </w:rPr>
      </w:pPr>
      <w:r>
        <w:rPr>
          <w:color w:val="auto"/>
          <w:highlight w:val="none"/>
        </w:rPr>
      </w:r>
      <w:r/>
    </w:p>
    <w:p>
      <w:pPr>
        <w:pStyle w:val="898"/>
        <w:ind w:left="1470" w:right="1470"/>
        <w:spacing w:line="360" w:lineRule="auto"/>
        <w:rPr>
          <w:color w:val="auto"/>
          <w:highlight w:val="none"/>
        </w:rPr>
      </w:pPr>
      <w:r>
        <w:rPr>
          <w:color w:val="auto"/>
          <w:highlight w:val="none"/>
        </w:rPr>
      </w:r>
      <w:r/>
    </w:p>
    <w:p>
      <w:pPr>
        <w:jc w:val="center"/>
        <w:spacing w:line="360" w:lineRule="auto"/>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属于监狱企业的证明文件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（提供由省级以上监狱管理局、戒毒管理局(含新疆生产建设兵团)出具的属于监狱企业的证明文件）</w:t>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898"/>
        <w:ind w:left="1470" w:right="147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899"/>
        <w:ind w:left="1260"/>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899"/>
        <w:ind w:left="1260"/>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899"/>
        <w:ind w:left="1260"/>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899"/>
        <w:ind w:left="1260"/>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899"/>
        <w:ind w:left="1260"/>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899"/>
        <w:ind w:left="1260"/>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899"/>
        <w:ind w:left="1260"/>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899"/>
        <w:ind w:left="1260"/>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899"/>
        <w:ind w:left="1260"/>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899"/>
        <w:ind w:left="1260"/>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876"/>
        <w:jc w:val="left"/>
        <w:spacing w:before="0" w:after="0" w:line="360" w:lineRule="auto"/>
        <w:rPr>
          <w:rFonts w:ascii="宋体" w:hAnsi="宋体" w:eastAsia="宋体" w:cs="宋体"/>
          <w:color w:val="auto"/>
          <w:sz w:val="24"/>
          <w:szCs w:val="24"/>
          <w:highlight w:val="none"/>
          <w:lang w:val="zh-CN"/>
        </w:rPr>
      </w:pPr>
      <w:r/>
      <w:bookmarkStart w:id="87" w:name="_Toc28636"/>
      <w:r>
        <w:rPr>
          <w:rFonts w:hint="eastAsia" w:ascii="宋体" w:hAnsi="宋体" w:eastAsia="宋体" w:cs="宋体"/>
          <w:color w:val="auto"/>
          <w:sz w:val="24"/>
          <w:szCs w:val="24"/>
          <w:highlight w:val="none"/>
          <w:lang w:val="zh-CN"/>
        </w:rPr>
        <w:t xml:space="preserve">附件十</w:t>
      </w:r>
      <w:r>
        <w:rPr>
          <w:rFonts w:hint="eastAsia" w:ascii="宋体" w:hAnsi="宋体" w:eastAsia="宋体" w:cs="宋体"/>
          <w:color w:val="auto"/>
          <w:sz w:val="24"/>
          <w:szCs w:val="24"/>
          <w:highlight w:val="none"/>
        </w:rPr>
        <w:t xml:space="preserve">八</w:t>
      </w:r>
      <w:r>
        <w:rPr>
          <w:rFonts w:hint="eastAsia" w:ascii="宋体" w:hAnsi="宋体" w:eastAsia="宋体" w:cs="宋体"/>
          <w:color w:val="auto"/>
          <w:sz w:val="24"/>
          <w:szCs w:val="24"/>
          <w:highlight w:val="none"/>
          <w:lang w:val="zh-CN"/>
        </w:rPr>
        <w:t xml:space="preserve">、节能产品认证证书、环境标志产品认证证书</w:t>
      </w:r>
      <w:bookmarkEnd w:id="87"/>
      <w:r/>
      <w:r/>
    </w:p>
    <w:p>
      <w:pPr>
        <w:ind w:firstLine="562"/>
        <w:jc w:val="center"/>
        <w:spacing w:line="360" w:lineRule="auto"/>
        <w:rPr>
          <w:rFonts w:ascii="宋体" w:hAnsi="宋体" w:cs="宋体"/>
          <w:b/>
          <w:bCs/>
          <w:color w:val="auto"/>
          <w:sz w:val="28"/>
          <w:highlight w:val="none"/>
          <w:lang w:val="zh-CN"/>
        </w:rPr>
        <w:outlineLvl w:val="0"/>
      </w:pPr>
      <w:r/>
      <w:bookmarkStart w:id="88" w:name="_Toc18177"/>
      <w:r/>
      <w:r/>
    </w:p>
    <w:p>
      <w:pPr>
        <w:ind w:firstLine="562"/>
        <w:jc w:val="center"/>
        <w:spacing w:line="360" w:lineRule="auto"/>
        <w:rPr>
          <w:rFonts w:ascii="宋体" w:hAnsi="宋体" w:cs="宋体"/>
          <w:b/>
          <w:bCs/>
          <w:color w:val="auto"/>
          <w:sz w:val="28"/>
          <w:highlight w:val="none"/>
          <w:lang w:val="zh-CN"/>
        </w:rPr>
        <w:outlineLvl w:val="0"/>
      </w:pPr>
      <w:r>
        <w:rPr>
          <w:rFonts w:ascii="宋体" w:hAnsi="宋体" w:cs="宋体"/>
          <w:b/>
          <w:bCs/>
          <w:color w:val="auto"/>
          <w:sz w:val="28"/>
          <w:highlight w:val="none"/>
          <w:lang w:val="zh-CN"/>
        </w:rPr>
      </w:r>
      <w:r/>
    </w:p>
    <w:p>
      <w:pPr>
        <w:ind w:firstLine="562"/>
        <w:jc w:val="center"/>
        <w:spacing w:line="360" w:lineRule="auto"/>
        <w:rPr>
          <w:rFonts w:ascii="宋体" w:hAnsi="宋体" w:cs="宋体"/>
          <w:b/>
          <w:bCs/>
          <w:color w:val="auto"/>
          <w:sz w:val="28"/>
          <w:highlight w:val="none"/>
          <w:lang w:val="zh-CN"/>
        </w:rPr>
        <w:outlineLvl w:val="0"/>
      </w:pPr>
      <w:r>
        <w:rPr>
          <w:rFonts w:hint="eastAsia" w:ascii="宋体" w:hAnsi="宋体" w:cs="宋体"/>
          <w:b/>
          <w:bCs/>
          <w:color w:val="auto"/>
          <w:sz w:val="28"/>
          <w:highlight w:val="none"/>
          <w:lang w:val="zh-CN"/>
        </w:rPr>
        <w:t xml:space="preserve">节能产品认证证书</w:t>
      </w:r>
      <w:bookmarkEnd w:id="88"/>
      <w:r/>
      <w:r/>
    </w:p>
    <w:p>
      <w:pPr>
        <w:ind w:firstLine="840"/>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（提供国家确定的认证机构出具的、处于有效期之内的产品认证证书）</w:t>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ind w:firstLine="562"/>
        <w:jc w:val="center"/>
        <w:spacing w:line="360" w:lineRule="auto"/>
        <w:rPr>
          <w:rFonts w:ascii="宋体" w:hAnsi="宋体" w:cs="宋体"/>
          <w:b/>
          <w:bCs/>
          <w:color w:val="auto"/>
          <w:sz w:val="28"/>
          <w:highlight w:val="none"/>
          <w:lang w:val="zh-CN"/>
        </w:rPr>
        <w:outlineLvl w:val="0"/>
      </w:pPr>
      <w:r/>
      <w:bookmarkStart w:id="89" w:name="_Toc13317"/>
      <w:r>
        <w:rPr>
          <w:rFonts w:hint="eastAsia" w:ascii="宋体" w:hAnsi="宋体" w:cs="宋体"/>
          <w:b/>
          <w:bCs/>
          <w:color w:val="auto"/>
          <w:sz w:val="28"/>
          <w:highlight w:val="none"/>
          <w:lang w:val="zh-CN"/>
        </w:rPr>
        <w:t xml:space="preserve">环境标志产品认证证书</w:t>
      </w:r>
      <w:bookmarkEnd w:id="89"/>
      <w:r/>
      <w:r/>
    </w:p>
    <w:p>
      <w:pPr>
        <w:ind w:firstLine="420"/>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（提供国家确定的认证机构出具的、处于有效期之内的产品认证证书）</w:t>
      </w:r>
      <w:r/>
    </w:p>
    <w:p>
      <w:pPr>
        <w:spacing w:line="360" w:lineRule="auto"/>
        <w:rPr>
          <w:b/>
          <w:color w:val="auto"/>
          <w:highlight w:val="none"/>
          <w:lang w:val="zh-CN"/>
        </w:rPr>
      </w:pPr>
      <w:r>
        <w:rPr>
          <w:b/>
          <w:color w:val="auto"/>
          <w:highlight w:val="none"/>
          <w:lang w:val="zh-CN"/>
        </w:rPr>
      </w:r>
      <w:r/>
    </w:p>
    <w:p>
      <w:pPr>
        <w:pStyle w:val="899"/>
        <w:ind w:left="1260"/>
        <w:spacing w:line="360" w:lineRule="auto"/>
        <w:rPr>
          <w:color w:val="auto"/>
          <w:highlight w:val="none"/>
        </w:rPr>
      </w:pPr>
      <w:r>
        <w:rPr>
          <w:color w:val="auto"/>
          <w:highlight w:val="none"/>
        </w:rPr>
      </w:r>
      <w:r/>
    </w:p>
    <w:sectPr>
      <w:headerReference w:type="default" r:id="rId9"/>
      <w:footerReference w:type="default" r:id="rId10"/>
      <w:footerReference w:type="first" r:id="rId11"/>
      <w:footnotePr/>
      <w:endnotePr/>
      <w:type w:val="nextPage"/>
      <w:pgSz w:w="12240" w:h="15840" w:orient="portrait"/>
      <w:pgMar w:top="1157" w:right="1293" w:bottom="1157" w:left="1293"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华文细黑">
    <w:panose1 w:val="02010600040101010101"/>
  </w:font>
  <w:font w:name="Palatino Linotype">
    <w:panose1 w:val="02040502050505030304"/>
  </w:font>
  <w:font w:name="Tahoma">
    <w:panose1 w:val="020B0604030504040204"/>
  </w:font>
  <w:font w:name="文鼎CS中宋">
    <w:panose1 w:val="020B0503020202020204"/>
  </w:font>
  <w:font w:name="楷体_GB2312">
    <w:panose1 w:val="02010609060101010101"/>
  </w:font>
  <w:font w:name="ˎ̥">
    <w:panose1 w:val="020B0503020202020204"/>
  </w:font>
  <w:font w:name="Cambria">
    <w:panose1 w:val="0204050305040603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both"/>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2250" cy="1530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22250" cy="153035"/>
                      </a:xfrm>
                      <a:prstGeom prst="rect">
                        <a:avLst/>
                      </a:prstGeom>
                      <a:noFill/>
                      <a:ln>
                        <a:noFill/>
                        <a:miter/>
                      </a:ln>
                    </wps:spPr>
                    <wps:txbx>
                      <w:txbxContent>
                        <w:p>
                          <w:pPr>
                            <w:pStyle w:val="908"/>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- 49 -</w:t>
                          </w:r>
                          <w:r>
                            <w:rPr>
                              <w:sz w:val="21"/>
                              <w:szCs w:val="21"/>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7.5pt;height:12.0pt;mso-wrap-distance-left:9.0pt;mso-wrap-distance-top:0.0pt;mso-wrap-distance-right:9.0pt;mso-wrap-distance-bottom:0.0pt;visibility:visible;" filled="f" stroked="f">
              <v:textbox inset="0,0,0,0">
                <w:txbxContent>
                  <w:p>
                    <w:pPr>
                      <w:pStyle w:val="908"/>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- 49 -</w:t>
                    </w:r>
                    <w:r>
                      <w:rPr>
                        <w:sz w:val="21"/>
                        <w:szCs w:val="21"/>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 PAGE  \* MERGEFORMAT </w:instrText>
    </w:r>
    <w:r>
      <w:fldChar w:fldCharType="separate"/>
    </w:r>
    <w:r>
      <w:t xml:space="preserve">- 56 -</w:t>
    </w:r>
    <w:r>
      <w:fldChar w:fldCharType="end"/>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right"/>
      <w:rPr>
        <w:sz w:val="21"/>
        <w:szCs w:val="21"/>
      </w:rPr>
    </w:pPr>
    <w:r>
      <w:rPr>
        <w:rFonts w:hint="eastAsia" w:ascii="宋体" w:hAnsi="宋体" w:cs="宋体"/>
        <w:szCs w:val="21"/>
      </w:rPr>
      <w:t xml:space="preserve">2026年度秦淮河河道堤防养护项目公开招标文件</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2">
    <w:name w:val="Heading 1 Char"/>
    <w:basedOn w:val="884"/>
    <w:link w:val="875"/>
    <w:uiPriority w:val="9"/>
    <w:rPr>
      <w:rFonts w:ascii="Arial" w:hAnsi="Arial" w:eastAsia="Arial" w:cs="Arial"/>
      <w:sz w:val="40"/>
      <w:szCs w:val="40"/>
    </w:rPr>
  </w:style>
  <w:style w:type="character" w:styleId="723">
    <w:name w:val="Heading 2 Char"/>
    <w:basedOn w:val="884"/>
    <w:link w:val="876"/>
    <w:uiPriority w:val="9"/>
    <w:rPr>
      <w:rFonts w:ascii="Arial" w:hAnsi="Arial" w:eastAsia="Arial" w:cs="Arial"/>
      <w:sz w:val="34"/>
    </w:rPr>
  </w:style>
  <w:style w:type="character" w:styleId="724">
    <w:name w:val="Heading 3 Char"/>
    <w:basedOn w:val="884"/>
    <w:link w:val="877"/>
    <w:uiPriority w:val="9"/>
    <w:rPr>
      <w:rFonts w:ascii="Arial" w:hAnsi="Arial" w:eastAsia="Arial" w:cs="Arial"/>
      <w:sz w:val="30"/>
      <w:szCs w:val="30"/>
    </w:rPr>
  </w:style>
  <w:style w:type="character" w:styleId="725">
    <w:name w:val="Heading 4 Char"/>
    <w:basedOn w:val="884"/>
    <w:link w:val="878"/>
    <w:uiPriority w:val="9"/>
    <w:rPr>
      <w:rFonts w:ascii="Arial" w:hAnsi="Arial" w:eastAsia="Arial" w:cs="Arial"/>
      <w:b/>
      <w:bCs/>
      <w:sz w:val="26"/>
      <w:szCs w:val="26"/>
    </w:rPr>
  </w:style>
  <w:style w:type="character" w:styleId="726">
    <w:name w:val="Heading 5 Char"/>
    <w:basedOn w:val="884"/>
    <w:link w:val="879"/>
    <w:uiPriority w:val="9"/>
    <w:rPr>
      <w:rFonts w:ascii="Arial" w:hAnsi="Arial" w:eastAsia="Arial" w:cs="Arial"/>
      <w:b/>
      <w:bCs/>
      <w:sz w:val="24"/>
      <w:szCs w:val="24"/>
    </w:rPr>
  </w:style>
  <w:style w:type="character" w:styleId="727">
    <w:name w:val="Heading 6 Char"/>
    <w:basedOn w:val="884"/>
    <w:link w:val="880"/>
    <w:uiPriority w:val="9"/>
    <w:rPr>
      <w:rFonts w:ascii="Arial" w:hAnsi="Arial" w:eastAsia="Arial" w:cs="Arial"/>
      <w:b/>
      <w:bCs/>
      <w:sz w:val="22"/>
      <w:szCs w:val="22"/>
    </w:rPr>
  </w:style>
  <w:style w:type="character" w:styleId="728">
    <w:name w:val="Heading 7 Char"/>
    <w:basedOn w:val="884"/>
    <w:link w:val="881"/>
    <w:uiPriority w:val="9"/>
    <w:rPr>
      <w:rFonts w:ascii="Arial" w:hAnsi="Arial" w:eastAsia="Arial" w:cs="Arial"/>
      <w:b/>
      <w:bCs/>
      <w:i/>
      <w:iCs/>
      <w:sz w:val="22"/>
      <w:szCs w:val="22"/>
    </w:rPr>
  </w:style>
  <w:style w:type="character" w:styleId="729">
    <w:name w:val="Heading 8 Char"/>
    <w:basedOn w:val="884"/>
    <w:link w:val="882"/>
    <w:uiPriority w:val="9"/>
    <w:rPr>
      <w:rFonts w:ascii="Arial" w:hAnsi="Arial" w:eastAsia="Arial" w:cs="Arial"/>
      <w:i/>
      <w:iCs/>
      <w:sz w:val="22"/>
      <w:szCs w:val="22"/>
    </w:rPr>
  </w:style>
  <w:style w:type="character" w:styleId="730">
    <w:name w:val="Heading 9 Char"/>
    <w:basedOn w:val="884"/>
    <w:link w:val="883"/>
    <w:uiPriority w:val="9"/>
    <w:rPr>
      <w:rFonts w:ascii="Arial" w:hAnsi="Arial" w:eastAsia="Arial" w:cs="Arial"/>
      <w:i/>
      <w:iCs/>
      <w:sz w:val="21"/>
      <w:szCs w:val="21"/>
    </w:rPr>
  </w:style>
  <w:style w:type="paragraph" w:styleId="731">
    <w:name w:val="No Spacing"/>
    <w:uiPriority w:val="1"/>
    <w:qFormat/>
    <w:pPr>
      <w:spacing w:before="0" w:after="0" w:line="240" w:lineRule="auto"/>
    </w:pPr>
  </w:style>
  <w:style w:type="character" w:styleId="732">
    <w:name w:val="Title Char"/>
    <w:basedOn w:val="884"/>
    <w:link w:val="923"/>
    <w:uiPriority w:val="10"/>
    <w:rPr>
      <w:sz w:val="48"/>
      <w:szCs w:val="48"/>
    </w:rPr>
  </w:style>
  <w:style w:type="paragraph" w:styleId="733">
    <w:name w:val="Subtitle"/>
    <w:basedOn w:val="874"/>
    <w:next w:val="874"/>
    <w:link w:val="734"/>
    <w:uiPriority w:val="11"/>
    <w:qFormat/>
    <w:pPr>
      <w:spacing w:before="200" w:after="200"/>
    </w:pPr>
    <w:rPr>
      <w:sz w:val="24"/>
      <w:szCs w:val="24"/>
    </w:rPr>
  </w:style>
  <w:style w:type="character" w:styleId="734">
    <w:name w:val="Subtitle Char"/>
    <w:basedOn w:val="884"/>
    <w:link w:val="733"/>
    <w:uiPriority w:val="11"/>
    <w:rPr>
      <w:sz w:val="24"/>
      <w:szCs w:val="24"/>
    </w:rPr>
  </w:style>
  <w:style w:type="paragraph" w:styleId="735">
    <w:name w:val="Quote"/>
    <w:basedOn w:val="874"/>
    <w:next w:val="874"/>
    <w:link w:val="736"/>
    <w:uiPriority w:val="29"/>
    <w:qFormat/>
    <w:pPr>
      <w:ind w:left="720" w:right="720"/>
    </w:pPr>
    <w:rPr>
      <w:i/>
    </w:rPr>
  </w:style>
  <w:style w:type="character" w:styleId="736">
    <w:name w:val="Quote Char"/>
    <w:link w:val="735"/>
    <w:uiPriority w:val="29"/>
    <w:rPr>
      <w:i/>
    </w:rPr>
  </w:style>
  <w:style w:type="paragraph" w:styleId="737">
    <w:name w:val="Intense Quote"/>
    <w:basedOn w:val="874"/>
    <w:next w:val="874"/>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character" w:styleId="739">
    <w:name w:val="Header Char"/>
    <w:basedOn w:val="884"/>
    <w:link w:val="909"/>
    <w:uiPriority w:val="99"/>
  </w:style>
  <w:style w:type="character" w:styleId="740">
    <w:name w:val="Footer Char"/>
    <w:basedOn w:val="884"/>
    <w:link w:val="908"/>
    <w:uiPriority w:val="99"/>
  </w:style>
  <w:style w:type="paragraph" w:styleId="741">
    <w:name w:val="Caption"/>
    <w:basedOn w:val="874"/>
    <w:next w:val="874"/>
    <w:uiPriority w:val="35"/>
    <w:semiHidden/>
    <w:unhideWhenUsed/>
    <w:qFormat/>
    <w:pPr>
      <w:spacing w:line="276" w:lineRule="auto"/>
    </w:pPr>
    <w:rPr>
      <w:b/>
      <w:bCs/>
      <w:color w:val="4f81bd" w:themeColor="accent1"/>
      <w:sz w:val="18"/>
      <w:szCs w:val="18"/>
    </w:rPr>
  </w:style>
  <w:style w:type="character" w:styleId="742">
    <w:name w:val="Caption Char"/>
    <w:basedOn w:val="741"/>
    <w:link w:val="908"/>
    <w:uiPriority w:val="99"/>
  </w:style>
  <w:style w:type="table" w:styleId="743">
    <w:name w:val="Table Grid Light"/>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8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8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8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basedOn w:val="8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basedOn w:val="8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basedOn w:val="8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basedOn w:val="8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basedOn w:val="8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basedOn w:val="8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basedOn w:val="8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basedOn w:val="8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basedOn w:val="8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basedOn w:val="8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basedOn w:val="8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basedOn w:val="8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basedOn w:val="8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basedOn w:val="8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basedOn w:val="8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basedOn w:val="8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basedOn w:val="8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basedOn w:val="8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basedOn w:val="8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basedOn w:val="88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basedOn w:val="88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basedOn w:val="88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basedOn w:val="88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basedOn w:val="88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basedOn w:val="88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basedOn w:val="8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basedOn w:val="8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basedOn w:val="8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basedOn w:val="8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basedOn w:val="8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basedOn w:val="8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basedOn w:val="8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basedOn w:val="8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basedOn w:val="8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basedOn w:val="8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basedOn w:val="8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basedOn w:val="8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basedOn w:val="8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basedOn w:val="8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basedOn w:val="8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basedOn w:val="8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basedOn w:val="8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basedOn w:val="8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basedOn w:val="8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basedOn w:val="8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basedOn w:val="8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basedOn w:val="8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basedOn w:val="8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basedOn w:val="8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basedOn w:val="8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basedOn w:val="8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basedOn w:val="8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basedOn w:val="8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basedOn w:val="8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basedOn w:val="8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basedOn w:val="8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basedOn w:val="8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basedOn w:val="8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basedOn w:val="8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basedOn w:val="8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basedOn w:val="8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basedOn w:val="8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basedOn w:val="8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basedOn w:val="8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basedOn w:val="8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basedOn w:val="8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basedOn w:val="8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basedOn w:val="8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Footnote Text Char"/>
    <w:link w:val="915"/>
    <w:uiPriority w:val="99"/>
    <w:rPr>
      <w:sz w:val="18"/>
    </w:rPr>
  </w:style>
  <w:style w:type="paragraph" w:styleId="869">
    <w:name w:val="endnote text"/>
    <w:basedOn w:val="874"/>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basedOn w:val="884"/>
    <w:uiPriority w:val="99"/>
    <w:semiHidden/>
    <w:unhideWhenUsed/>
    <w:rPr>
      <w:vertAlign w:val="superscript"/>
    </w:rPr>
  </w:style>
  <w:style w:type="paragraph" w:styleId="872">
    <w:name w:val="TOC Heading"/>
    <w:uiPriority w:val="39"/>
    <w:unhideWhenUsed/>
  </w:style>
  <w:style w:type="paragraph" w:styleId="873">
    <w:name w:val="table of figures"/>
    <w:basedOn w:val="874"/>
    <w:next w:val="874"/>
    <w:uiPriority w:val="99"/>
    <w:unhideWhenUsed/>
    <w:pPr>
      <w:spacing w:after="0" w:afterAutospacing="0"/>
    </w:pPr>
  </w:style>
  <w:style w:type="paragraph" w:styleId="87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5">
    <w:name w:val="Heading 1"/>
    <w:basedOn w:val="874"/>
    <w:next w:val="874"/>
    <w:link w:val="938"/>
    <w:uiPriority w:val="0"/>
    <w:qFormat/>
    <w:pPr>
      <w:jc w:val="center"/>
      <w:keepLines/>
      <w:keepNext/>
      <w:spacing w:before="340" w:after="330" w:line="576" w:lineRule="auto"/>
      <w:outlineLvl w:val="0"/>
    </w:pPr>
    <w:rPr>
      <w:rFonts w:eastAsia="仿宋_GB2312"/>
      <w:b/>
      <w:bCs/>
      <w:sz w:val="52"/>
      <w:szCs w:val="44"/>
    </w:rPr>
  </w:style>
  <w:style w:type="paragraph" w:styleId="876">
    <w:name w:val="Heading 2"/>
    <w:basedOn w:val="874"/>
    <w:next w:val="874"/>
    <w:link w:val="939"/>
    <w:uiPriority w:val="0"/>
    <w:qFormat/>
    <w:pPr>
      <w:jc w:val="center"/>
      <w:keepLines/>
      <w:keepNext/>
      <w:spacing w:before="260" w:after="260" w:line="413" w:lineRule="auto"/>
      <w:outlineLvl w:val="1"/>
    </w:pPr>
    <w:rPr>
      <w:rFonts w:ascii="Arial" w:hAnsi="Arial" w:eastAsia="仿宋_GB2312"/>
      <w:b/>
      <w:sz w:val="48"/>
      <w:szCs w:val="20"/>
    </w:rPr>
  </w:style>
  <w:style w:type="paragraph" w:styleId="877">
    <w:name w:val="Heading 3"/>
    <w:basedOn w:val="874"/>
    <w:next w:val="874"/>
    <w:link w:val="940"/>
    <w:uiPriority w:val="0"/>
    <w:qFormat/>
    <w:pPr>
      <w:keepLines/>
      <w:keepNext/>
      <w:spacing w:before="260" w:after="260" w:line="413" w:lineRule="auto"/>
      <w:outlineLvl w:val="2"/>
    </w:pPr>
    <w:rPr>
      <w:b/>
      <w:bCs/>
      <w:sz w:val="32"/>
      <w:szCs w:val="32"/>
    </w:rPr>
  </w:style>
  <w:style w:type="paragraph" w:styleId="878">
    <w:name w:val="Heading 4"/>
    <w:basedOn w:val="874"/>
    <w:next w:val="874"/>
    <w:link w:val="941"/>
    <w:uiPriority w:val="0"/>
    <w:qFormat/>
    <w:pPr>
      <w:ind w:left="358"/>
      <w:spacing w:before="34"/>
      <w:outlineLvl w:val="3"/>
    </w:pPr>
    <w:rPr>
      <w:rFonts w:ascii="宋体" w:hAnsi="宋体"/>
      <w:b/>
      <w:bCs/>
      <w:sz w:val="24"/>
    </w:rPr>
  </w:style>
  <w:style w:type="paragraph" w:styleId="879">
    <w:name w:val="Heading 5"/>
    <w:basedOn w:val="874"/>
    <w:next w:val="874"/>
    <w:link w:val="942"/>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880">
    <w:name w:val="Heading 6"/>
    <w:basedOn w:val="874"/>
    <w:next w:val="874"/>
    <w:link w:val="943"/>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81">
    <w:name w:val="Heading 7"/>
    <w:basedOn w:val="874"/>
    <w:next w:val="874"/>
    <w:link w:val="944"/>
    <w:uiPriority w:val="0"/>
    <w:qFormat/>
    <w:pPr>
      <w:ind w:left="1296" w:hanging="1296"/>
      <w:keepLines/>
      <w:keepNext/>
      <w:spacing w:before="240" w:after="64" w:line="317" w:lineRule="auto"/>
      <w:tabs>
        <w:tab w:val="left" w:pos="1296" w:leader="none"/>
      </w:tabs>
      <w:outlineLvl w:val="6"/>
    </w:pPr>
    <w:rPr>
      <w:b/>
      <w:bCs/>
      <w:sz w:val="24"/>
    </w:rPr>
  </w:style>
  <w:style w:type="paragraph" w:styleId="882">
    <w:name w:val="Heading 8"/>
    <w:basedOn w:val="874"/>
    <w:next w:val="874"/>
    <w:link w:val="945"/>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83">
    <w:name w:val="Heading 9"/>
    <w:basedOn w:val="874"/>
    <w:next w:val="874"/>
    <w:link w:val="946"/>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84" w:default="1">
    <w:name w:val="Default Paragraph Font"/>
    <w:uiPriority w:val="1"/>
    <w:semiHidden/>
    <w:unhideWhenUsed/>
  </w:style>
  <w:style w:type="table" w:styleId="885" w:default="1">
    <w:name w:val="Normal Table"/>
    <w:uiPriority w:val="99"/>
    <w:semiHidden/>
    <w:unhideWhenUsed/>
    <w:tblPr>
      <w:tblCellMar>
        <w:left w:w="108" w:type="dxa"/>
        <w:top w:w="0" w:type="dxa"/>
        <w:right w:w="108" w:type="dxa"/>
        <w:bottom w:w="0" w:type="dxa"/>
      </w:tblCellMar>
    </w:tblPr>
  </w:style>
  <w:style w:type="paragraph" w:styleId="886">
    <w:name w:val="macro"/>
    <w:link w:val="937"/>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zh-CN" w:bidi="ar-SA"/>
    </w:rPr>
  </w:style>
  <w:style w:type="paragraph" w:styleId="887">
    <w:name w:val="toc 7"/>
    <w:basedOn w:val="874"/>
    <w:next w:val="874"/>
    <w:uiPriority w:val="0"/>
    <w:qFormat/>
    <w:pPr>
      <w:ind w:left="1260"/>
      <w:jc w:val="left"/>
    </w:pPr>
    <w:rPr>
      <w:sz w:val="18"/>
      <w:szCs w:val="20"/>
    </w:rPr>
  </w:style>
  <w:style w:type="paragraph" w:styleId="888">
    <w:name w:val="List Number 2"/>
    <w:basedOn w:val="874"/>
    <w:uiPriority w:val="0"/>
    <w:qFormat/>
    <w:pPr>
      <w:ind w:left="1440" w:hanging="1440"/>
      <w:spacing w:line="360" w:lineRule="auto"/>
      <w:tabs>
        <w:tab w:val="left" w:pos="1440" w:leader="none"/>
      </w:tabs>
    </w:pPr>
    <w:rPr>
      <w:sz w:val="24"/>
    </w:rPr>
  </w:style>
  <w:style w:type="paragraph" w:styleId="889">
    <w:name w:val="table of authorities"/>
    <w:basedOn w:val="874"/>
    <w:next w:val="874"/>
    <w:uiPriority w:val="0"/>
    <w:qFormat/>
    <w:pPr>
      <w:ind w:left="420"/>
    </w:pPr>
  </w:style>
  <w:style w:type="paragraph" w:styleId="890">
    <w:name w:val="List Number"/>
    <w:basedOn w:val="874"/>
    <w:uiPriority w:val="0"/>
    <w:qFormat/>
    <w:pPr>
      <w:ind w:left="2952" w:hanging="432"/>
      <w:tabs>
        <w:tab w:val="left" w:pos="2952" w:leader="none"/>
      </w:tabs>
    </w:pPr>
  </w:style>
  <w:style w:type="paragraph" w:styleId="891">
    <w:name w:val="Normal Indent"/>
    <w:basedOn w:val="874"/>
    <w:link w:val="947"/>
    <w:uiPriority w:val="0"/>
    <w:qFormat/>
    <w:pPr>
      <w:ind w:firstLine="420"/>
    </w:pPr>
    <w:rPr>
      <w:szCs w:val="20"/>
    </w:rPr>
  </w:style>
  <w:style w:type="paragraph" w:styleId="892">
    <w:name w:val="Document Map"/>
    <w:basedOn w:val="874"/>
    <w:link w:val="948"/>
    <w:uiPriority w:val="0"/>
    <w:qFormat/>
    <w:pPr>
      <w:shd w:val="clear" w:color="auto" w:fill="000080"/>
    </w:pPr>
  </w:style>
  <w:style w:type="paragraph" w:styleId="893">
    <w:name w:val="annotation text"/>
    <w:basedOn w:val="874"/>
    <w:link w:val="949"/>
    <w:uiPriority w:val="0"/>
    <w:qFormat/>
    <w:pPr>
      <w:jc w:val="left"/>
    </w:pPr>
  </w:style>
  <w:style w:type="paragraph" w:styleId="894">
    <w:name w:val="Salutation"/>
    <w:basedOn w:val="874"/>
    <w:next w:val="874"/>
    <w:link w:val="950"/>
    <w:uiPriority w:val="0"/>
    <w:qFormat/>
    <w:rPr>
      <w:rFonts w:ascii="仿宋_GB2312" w:eastAsia="仿宋_GB2312"/>
      <w:sz w:val="28"/>
      <w:szCs w:val="20"/>
    </w:rPr>
  </w:style>
  <w:style w:type="paragraph" w:styleId="895">
    <w:name w:val="Body Text 3"/>
    <w:basedOn w:val="874"/>
    <w:link w:val="951"/>
    <w:uiPriority w:val="0"/>
    <w:qFormat/>
    <w:pPr>
      <w:spacing w:after="120"/>
    </w:pPr>
    <w:rPr>
      <w:sz w:val="16"/>
      <w:szCs w:val="16"/>
    </w:rPr>
  </w:style>
  <w:style w:type="paragraph" w:styleId="896">
    <w:name w:val="Body Text"/>
    <w:basedOn w:val="874"/>
    <w:next w:val="874"/>
    <w:link w:val="952"/>
    <w:uiPriority w:val="0"/>
    <w:qFormat/>
    <w:pPr>
      <w:ind w:left="118"/>
      <w:jc w:val="left"/>
      <w:spacing w:before="34"/>
    </w:pPr>
    <w:rPr>
      <w:rFonts w:ascii="宋体" w:hAnsi="宋体"/>
      <w:sz w:val="24"/>
      <w:lang w:eastAsia="en-US"/>
    </w:rPr>
  </w:style>
  <w:style w:type="paragraph" w:styleId="897">
    <w:name w:val="Body Text Indent"/>
    <w:basedOn w:val="874"/>
    <w:next w:val="874"/>
    <w:link w:val="953"/>
    <w:uiPriority w:val="0"/>
    <w:unhideWhenUsed/>
    <w:qFormat/>
    <w:pPr>
      <w:ind w:left="420"/>
      <w:spacing w:after="120"/>
    </w:pPr>
  </w:style>
  <w:style w:type="paragraph" w:styleId="898">
    <w:name w:val="Block Text"/>
    <w:basedOn w:val="874"/>
    <w:uiPriority w:val="0"/>
    <w:qFormat/>
    <w:pPr>
      <w:ind w:left="1440" w:right="1440"/>
      <w:spacing w:after="120"/>
    </w:pPr>
  </w:style>
  <w:style w:type="paragraph" w:styleId="899">
    <w:name w:val="index 4"/>
    <w:basedOn w:val="874"/>
    <w:next w:val="874"/>
    <w:uiPriority w:val="99"/>
    <w:unhideWhenUsed/>
    <w:qFormat/>
    <w:pPr>
      <w:ind w:left="600"/>
    </w:pPr>
    <w:rPr>
      <w:rFonts w:ascii="Verdana" w:hAnsi="Verdana"/>
      <w:szCs w:val="20"/>
    </w:rPr>
  </w:style>
  <w:style w:type="paragraph" w:styleId="900">
    <w:name w:val="toc 5"/>
    <w:basedOn w:val="874"/>
    <w:next w:val="874"/>
    <w:uiPriority w:val="0"/>
    <w:qFormat/>
    <w:pPr>
      <w:ind w:left="840"/>
      <w:jc w:val="left"/>
    </w:pPr>
    <w:rPr>
      <w:sz w:val="18"/>
      <w:szCs w:val="20"/>
    </w:rPr>
  </w:style>
  <w:style w:type="paragraph" w:styleId="901">
    <w:name w:val="toc 3"/>
    <w:basedOn w:val="874"/>
    <w:next w:val="874"/>
    <w:uiPriority w:val="0"/>
    <w:qFormat/>
    <w:pPr>
      <w:ind w:left="840"/>
    </w:pPr>
  </w:style>
  <w:style w:type="paragraph" w:styleId="902">
    <w:name w:val="Plain Text"/>
    <w:basedOn w:val="874"/>
    <w:link w:val="954"/>
    <w:uiPriority w:val="0"/>
    <w:qFormat/>
    <w:rPr>
      <w:rFonts w:ascii="宋体" w:hAnsi="Courier New"/>
      <w:szCs w:val="21"/>
    </w:rPr>
  </w:style>
  <w:style w:type="paragraph" w:styleId="903">
    <w:name w:val="toc 8"/>
    <w:basedOn w:val="874"/>
    <w:next w:val="874"/>
    <w:uiPriority w:val="0"/>
    <w:qFormat/>
    <w:pPr>
      <w:ind w:left="1470"/>
      <w:jc w:val="left"/>
    </w:pPr>
    <w:rPr>
      <w:sz w:val="18"/>
      <w:szCs w:val="20"/>
    </w:rPr>
  </w:style>
  <w:style w:type="paragraph" w:styleId="904">
    <w:name w:val="index 3"/>
    <w:basedOn w:val="874"/>
    <w:next w:val="874"/>
    <w:uiPriority w:val="0"/>
    <w:qFormat/>
    <w:pPr>
      <w:ind w:left="840"/>
    </w:pPr>
    <w:rPr>
      <w:szCs w:val="20"/>
    </w:rPr>
  </w:style>
  <w:style w:type="paragraph" w:styleId="905">
    <w:name w:val="Date"/>
    <w:basedOn w:val="874"/>
    <w:next w:val="874"/>
    <w:link w:val="955"/>
    <w:uiPriority w:val="0"/>
    <w:qFormat/>
    <w:pPr>
      <w:ind w:left="100"/>
    </w:pPr>
    <w:rPr>
      <w:sz w:val="28"/>
      <w:szCs w:val="20"/>
    </w:rPr>
  </w:style>
  <w:style w:type="paragraph" w:styleId="906">
    <w:name w:val="Body Text Indent 2"/>
    <w:basedOn w:val="874"/>
    <w:link w:val="956"/>
    <w:uiPriority w:val="0"/>
    <w:qFormat/>
    <w:pPr>
      <w:ind w:firstLine="480"/>
      <w:spacing w:line="400" w:lineRule="exact"/>
    </w:pPr>
    <w:rPr>
      <w:rFonts w:ascii="宋体" w:hAnsi="宋体"/>
      <w:sz w:val="24"/>
    </w:rPr>
  </w:style>
  <w:style w:type="paragraph" w:styleId="907">
    <w:name w:val="Balloon Text"/>
    <w:basedOn w:val="874"/>
    <w:link w:val="957"/>
    <w:uiPriority w:val="0"/>
    <w:qFormat/>
    <w:rPr>
      <w:sz w:val="18"/>
      <w:szCs w:val="18"/>
    </w:rPr>
  </w:style>
  <w:style w:type="paragraph" w:styleId="908">
    <w:name w:val="Footer"/>
    <w:basedOn w:val="874"/>
    <w:link w:val="958"/>
    <w:uiPriority w:val="0"/>
    <w:qFormat/>
    <w:pPr>
      <w:jc w:val="left"/>
      <w:tabs>
        <w:tab w:val="center" w:pos="4153" w:leader="none"/>
        <w:tab w:val="right" w:pos="8306" w:leader="none"/>
      </w:tabs>
    </w:pPr>
    <w:rPr>
      <w:sz w:val="18"/>
      <w:szCs w:val="18"/>
    </w:rPr>
  </w:style>
  <w:style w:type="paragraph" w:styleId="909">
    <w:name w:val="Header"/>
    <w:basedOn w:val="874"/>
    <w:link w:val="959"/>
    <w:uiPriority w:val="0"/>
    <w:qFormat/>
    <w:pPr>
      <w:jc w:val="center"/>
      <w:tabs>
        <w:tab w:val="center" w:pos="4153" w:leader="none"/>
        <w:tab w:val="right" w:pos="8306" w:leader="none"/>
      </w:tabs>
      <w:pBdr>
        <w:bottom w:val="single" w:color="auto" w:sz="6" w:space="1"/>
      </w:pBdr>
    </w:pPr>
    <w:rPr>
      <w:sz w:val="18"/>
      <w:szCs w:val="18"/>
    </w:rPr>
  </w:style>
  <w:style w:type="paragraph" w:styleId="910">
    <w:name w:val="Signature"/>
    <w:basedOn w:val="874"/>
    <w:link w:val="960"/>
    <w:uiPriority w:val="0"/>
    <w:qFormat/>
    <w:pPr>
      <w:jc w:val="center"/>
      <w:spacing w:after="600" w:line="312" w:lineRule="atLeast"/>
    </w:pPr>
    <w:rPr>
      <w:rFonts w:eastAsia="仿宋_GB2312"/>
      <w:sz w:val="24"/>
      <w:szCs w:val="20"/>
    </w:rPr>
  </w:style>
  <w:style w:type="paragraph" w:styleId="911">
    <w:name w:val="toc 1"/>
    <w:basedOn w:val="874"/>
    <w:next w:val="874"/>
    <w:uiPriority w:val="0"/>
    <w:qFormat/>
  </w:style>
  <w:style w:type="paragraph" w:styleId="912">
    <w:name w:val="toc 4"/>
    <w:basedOn w:val="874"/>
    <w:next w:val="874"/>
    <w:uiPriority w:val="0"/>
    <w:qFormat/>
    <w:pPr>
      <w:ind w:left="630"/>
      <w:jc w:val="left"/>
    </w:pPr>
    <w:rPr>
      <w:sz w:val="18"/>
      <w:szCs w:val="20"/>
    </w:rPr>
  </w:style>
  <w:style w:type="paragraph" w:styleId="913">
    <w:name w:val="index heading"/>
    <w:basedOn w:val="874"/>
    <w:next w:val="914"/>
    <w:uiPriority w:val="0"/>
    <w:qFormat/>
    <w:rPr>
      <w:szCs w:val="20"/>
    </w:rPr>
  </w:style>
  <w:style w:type="paragraph" w:styleId="914">
    <w:name w:val="index 1"/>
    <w:basedOn w:val="874"/>
    <w:next w:val="874"/>
    <w:uiPriority w:val="0"/>
    <w:qFormat/>
  </w:style>
  <w:style w:type="paragraph" w:styleId="915">
    <w:name w:val="footnote text"/>
    <w:basedOn w:val="874"/>
    <w:link w:val="961"/>
    <w:uiPriority w:val="0"/>
    <w:qFormat/>
    <w:pPr>
      <w:jc w:val="left"/>
    </w:pPr>
    <w:rPr>
      <w:sz w:val="18"/>
      <w:szCs w:val="18"/>
    </w:rPr>
  </w:style>
  <w:style w:type="paragraph" w:styleId="916">
    <w:name w:val="toc 6"/>
    <w:basedOn w:val="874"/>
    <w:next w:val="874"/>
    <w:uiPriority w:val="0"/>
    <w:qFormat/>
    <w:pPr>
      <w:ind w:left="1050"/>
      <w:jc w:val="left"/>
    </w:pPr>
    <w:rPr>
      <w:sz w:val="18"/>
      <w:szCs w:val="20"/>
    </w:rPr>
  </w:style>
  <w:style w:type="paragraph" w:styleId="917">
    <w:name w:val="Body Text Indent 3"/>
    <w:basedOn w:val="874"/>
    <w:link w:val="962"/>
    <w:uiPriority w:val="0"/>
    <w:qFormat/>
    <w:pPr>
      <w:ind w:left="480"/>
      <w:spacing w:before="120" w:after="120" w:line="264" w:lineRule="auto"/>
    </w:pPr>
    <w:rPr>
      <w:b/>
      <w:bCs/>
      <w:sz w:val="24"/>
      <w:szCs w:val="20"/>
    </w:rPr>
  </w:style>
  <w:style w:type="paragraph" w:styleId="918">
    <w:name w:val="toc 2"/>
    <w:basedOn w:val="874"/>
    <w:next w:val="874"/>
    <w:uiPriority w:val="0"/>
    <w:qFormat/>
    <w:pPr>
      <w:ind w:left="420"/>
    </w:pPr>
  </w:style>
  <w:style w:type="paragraph" w:styleId="919">
    <w:name w:val="toc 9"/>
    <w:basedOn w:val="874"/>
    <w:next w:val="874"/>
    <w:uiPriority w:val="0"/>
    <w:qFormat/>
    <w:pPr>
      <w:ind w:left="1680"/>
      <w:jc w:val="left"/>
    </w:pPr>
    <w:rPr>
      <w:sz w:val="18"/>
      <w:szCs w:val="20"/>
    </w:rPr>
  </w:style>
  <w:style w:type="paragraph" w:styleId="920">
    <w:name w:val="Body Text 2"/>
    <w:basedOn w:val="874"/>
    <w:link w:val="963"/>
    <w:uiPriority w:val="0"/>
    <w:qFormat/>
    <w:pPr>
      <w:jc w:val="center"/>
    </w:pPr>
    <w:rPr>
      <w:b/>
      <w:bCs/>
      <w:sz w:val="72"/>
      <w:szCs w:val="20"/>
    </w:rPr>
  </w:style>
  <w:style w:type="paragraph" w:styleId="921">
    <w:name w:val="HTML Preformatted"/>
    <w:basedOn w:val="874"/>
    <w:link w:val="96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22">
    <w:name w:val="Normal (Web)"/>
    <w:basedOn w:val="874"/>
    <w:link w:val="965"/>
    <w:uiPriority w:val="0"/>
    <w:unhideWhenUsed/>
    <w:qFormat/>
    <w:pPr>
      <w:jc w:val="left"/>
      <w:widowControl/>
    </w:pPr>
    <w:rPr>
      <w:sz w:val="24"/>
    </w:rPr>
  </w:style>
  <w:style w:type="paragraph" w:styleId="923">
    <w:name w:val="Title"/>
    <w:basedOn w:val="874"/>
    <w:link w:val="966"/>
    <w:uiPriority w:val="0"/>
    <w:qFormat/>
    <w:pPr>
      <w:jc w:val="center"/>
      <w:spacing w:line="420" w:lineRule="exact"/>
      <w:widowControl/>
    </w:pPr>
    <w:rPr>
      <w:rFonts w:eastAsia="黑体"/>
      <w:b/>
      <w:sz w:val="28"/>
      <w:szCs w:val="20"/>
      <w:lang w:val="en-GB"/>
    </w:rPr>
  </w:style>
  <w:style w:type="paragraph" w:styleId="924">
    <w:name w:val="annotation subject"/>
    <w:basedOn w:val="893"/>
    <w:next w:val="893"/>
    <w:link w:val="967"/>
    <w:uiPriority w:val="0"/>
    <w:qFormat/>
    <w:rPr>
      <w:b/>
      <w:bCs/>
    </w:rPr>
  </w:style>
  <w:style w:type="paragraph" w:styleId="925">
    <w:name w:val="Body Text First Indent"/>
    <w:basedOn w:val="896"/>
    <w:link w:val="968"/>
    <w:uiPriority w:val="0"/>
    <w:qFormat/>
    <w:pPr>
      <w:ind w:left="0" w:firstLine="420"/>
      <w:jc w:val="both"/>
      <w:spacing w:before="0" w:after="120"/>
    </w:pPr>
    <w:rPr>
      <w:rFonts w:ascii="Times New Roman" w:hAnsi="Times New Roman"/>
      <w:sz w:val="21"/>
    </w:rPr>
  </w:style>
  <w:style w:type="paragraph" w:styleId="926">
    <w:name w:val="Body Text First Indent 2"/>
    <w:basedOn w:val="897"/>
    <w:uiPriority w:val="99"/>
    <w:unhideWhenUsed/>
    <w:qFormat/>
    <w:pPr>
      <w:ind w:firstLine="420"/>
      <w:spacing w:before="100" w:beforeAutospacing="1" w:after="0"/>
    </w:pPr>
    <w:rPr>
      <w:szCs w:val="21"/>
    </w:rPr>
  </w:style>
  <w:style w:type="table" w:styleId="927">
    <w:name w:val="Table Grid"/>
    <w:basedOn w:val="88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8">
    <w:name w:val="Strong"/>
    <w:uiPriority w:val="22"/>
    <w:qFormat/>
    <w:rPr>
      <w:b/>
      <w:bCs/>
    </w:rPr>
  </w:style>
  <w:style w:type="character" w:styleId="929">
    <w:name w:val="page number"/>
    <w:uiPriority w:val="0"/>
    <w:qFormat/>
    <w:rPr>
      <w:szCs w:val="20"/>
    </w:rPr>
  </w:style>
  <w:style w:type="character" w:styleId="930">
    <w:name w:val="FollowedHyperlink"/>
    <w:basedOn w:val="884"/>
    <w:uiPriority w:val="99"/>
    <w:qFormat/>
    <w:rPr>
      <w:rFonts w:hint="eastAsia" w:ascii="微软雅黑" w:hAnsi="微软雅黑" w:eastAsia="微软雅黑" w:cs="微软雅黑"/>
      <w:color w:val="02396f"/>
      <w:u w:val="single"/>
    </w:rPr>
  </w:style>
  <w:style w:type="character" w:styleId="931">
    <w:name w:val="line number"/>
    <w:uiPriority w:val="0"/>
    <w:qFormat/>
    <w:rPr>
      <w:szCs w:val="20"/>
    </w:rPr>
  </w:style>
  <w:style w:type="character" w:styleId="932">
    <w:name w:val="HTML Typewriter"/>
    <w:uiPriority w:val="0"/>
    <w:qFormat/>
    <w:rPr>
      <w:rFonts w:ascii="宋体" w:hAnsi="宋体" w:eastAsia="宋体" w:cs="宋体"/>
      <w:sz w:val="24"/>
      <w:szCs w:val="24"/>
    </w:rPr>
  </w:style>
  <w:style w:type="character" w:styleId="933">
    <w:name w:val="Hyperlink"/>
    <w:basedOn w:val="884"/>
    <w:uiPriority w:val="99"/>
    <w:unhideWhenUsed/>
    <w:qFormat/>
    <w:rPr>
      <w:rFonts w:hint="eastAsia" w:ascii="微软雅黑" w:hAnsi="微软雅黑" w:eastAsia="微软雅黑" w:cs="微软雅黑"/>
      <w:color w:val="02396f"/>
      <w:u w:val="single"/>
    </w:rPr>
  </w:style>
  <w:style w:type="character" w:styleId="934">
    <w:name w:val="annotation reference"/>
    <w:uiPriority w:val="0"/>
    <w:qFormat/>
    <w:rPr>
      <w:sz w:val="21"/>
      <w:szCs w:val="21"/>
    </w:rPr>
  </w:style>
  <w:style w:type="character" w:styleId="935">
    <w:name w:val="footnote reference"/>
    <w:uiPriority w:val="0"/>
    <w:qFormat/>
    <w:rPr>
      <w:vertAlign w:val="superscript"/>
    </w:rPr>
  </w:style>
  <w:style w:type="paragraph" w:styleId="936" w:customStyle="1">
    <w:name w:val="NormalIndent"/>
    <w:basedOn w:val="874"/>
    <w:uiPriority w:val="0"/>
    <w:qFormat/>
    <w:pPr>
      <w:ind w:firstLine="420"/>
      <w:widowControl/>
    </w:pPr>
  </w:style>
  <w:style w:type="character" w:styleId="937" w:customStyle="1">
    <w:name w:val="宏文本 Char1"/>
    <w:basedOn w:val="884"/>
    <w:link w:val="886"/>
    <w:uiPriority w:val="0"/>
    <w:qFormat/>
    <w:rPr>
      <w:rFonts w:ascii="Courier New" w:hAnsi="Courier New" w:cs="Courier New"/>
      <w:sz w:val="24"/>
      <w:szCs w:val="24"/>
    </w:rPr>
  </w:style>
  <w:style w:type="character" w:styleId="938" w:customStyle="1">
    <w:name w:val="标题 1 Char"/>
    <w:link w:val="875"/>
    <w:uiPriority w:val="0"/>
    <w:qFormat/>
    <w:rPr>
      <w:rFonts w:eastAsia="仿宋_GB2312"/>
      <w:b/>
      <w:bCs/>
      <w:sz w:val="52"/>
      <w:szCs w:val="44"/>
    </w:rPr>
  </w:style>
  <w:style w:type="character" w:styleId="939" w:customStyle="1">
    <w:name w:val="标题 2 Char"/>
    <w:link w:val="876"/>
    <w:uiPriority w:val="0"/>
    <w:qFormat/>
    <w:rPr>
      <w:rFonts w:ascii="Arial" w:hAnsi="Arial" w:eastAsia="仿宋_GB2312"/>
      <w:b/>
      <w:sz w:val="48"/>
    </w:rPr>
  </w:style>
  <w:style w:type="character" w:styleId="940" w:customStyle="1">
    <w:name w:val="标题 3 Char"/>
    <w:basedOn w:val="884"/>
    <w:link w:val="877"/>
    <w:uiPriority w:val="0"/>
    <w:qFormat/>
    <w:rPr>
      <w:b/>
      <w:bCs/>
      <w:sz w:val="32"/>
      <w:szCs w:val="32"/>
    </w:rPr>
  </w:style>
  <w:style w:type="character" w:styleId="941" w:customStyle="1">
    <w:name w:val="标题 4 Char"/>
    <w:link w:val="878"/>
    <w:uiPriority w:val="0"/>
    <w:qFormat/>
    <w:rPr>
      <w:rFonts w:ascii="宋体" w:hAnsi="宋体"/>
      <w:b/>
      <w:bCs/>
      <w:sz w:val="24"/>
      <w:szCs w:val="24"/>
    </w:rPr>
  </w:style>
  <w:style w:type="character" w:styleId="942" w:customStyle="1">
    <w:name w:val="标题 5 Char"/>
    <w:basedOn w:val="884"/>
    <w:link w:val="879"/>
    <w:uiPriority w:val="0"/>
    <w:qFormat/>
    <w:rPr>
      <w:b/>
      <w:bCs/>
      <w:sz w:val="28"/>
      <w:szCs w:val="28"/>
    </w:rPr>
  </w:style>
  <w:style w:type="character" w:styleId="943" w:customStyle="1">
    <w:name w:val="标题 6 Char"/>
    <w:basedOn w:val="884"/>
    <w:link w:val="880"/>
    <w:uiPriority w:val="0"/>
    <w:qFormat/>
    <w:rPr>
      <w:rFonts w:ascii="Arial" w:hAnsi="Arial" w:eastAsia="黑体"/>
      <w:b/>
      <w:bCs/>
      <w:sz w:val="24"/>
      <w:szCs w:val="24"/>
    </w:rPr>
  </w:style>
  <w:style w:type="character" w:styleId="944" w:customStyle="1">
    <w:name w:val="标题 7 Char"/>
    <w:basedOn w:val="884"/>
    <w:link w:val="881"/>
    <w:uiPriority w:val="0"/>
    <w:qFormat/>
    <w:rPr>
      <w:b/>
      <w:bCs/>
      <w:sz w:val="24"/>
      <w:szCs w:val="24"/>
    </w:rPr>
  </w:style>
  <w:style w:type="character" w:styleId="945" w:customStyle="1">
    <w:name w:val="标题 8 Char"/>
    <w:basedOn w:val="884"/>
    <w:link w:val="882"/>
    <w:uiPriority w:val="0"/>
    <w:qFormat/>
    <w:rPr>
      <w:rFonts w:ascii="Arial" w:hAnsi="Arial" w:eastAsia="黑体"/>
      <w:sz w:val="24"/>
      <w:szCs w:val="24"/>
    </w:rPr>
  </w:style>
  <w:style w:type="character" w:styleId="946" w:customStyle="1">
    <w:name w:val="标题 9 Char"/>
    <w:basedOn w:val="884"/>
    <w:link w:val="883"/>
    <w:uiPriority w:val="0"/>
    <w:qFormat/>
    <w:rPr>
      <w:rFonts w:ascii="Arial" w:hAnsi="Arial" w:eastAsia="黑体"/>
      <w:sz w:val="21"/>
      <w:szCs w:val="21"/>
    </w:rPr>
  </w:style>
  <w:style w:type="character" w:styleId="947" w:customStyle="1">
    <w:name w:val="正文缩进 Char"/>
    <w:link w:val="891"/>
    <w:uiPriority w:val="0"/>
    <w:qFormat/>
    <w:rPr>
      <w:sz w:val="21"/>
    </w:rPr>
  </w:style>
  <w:style w:type="character" w:styleId="948" w:customStyle="1">
    <w:name w:val="文档结构图 Char2"/>
    <w:basedOn w:val="884"/>
    <w:link w:val="892"/>
    <w:uiPriority w:val="0"/>
    <w:qFormat/>
    <w:rPr>
      <w:rFonts w:ascii="宋体"/>
      <w:sz w:val="18"/>
      <w:szCs w:val="18"/>
    </w:rPr>
  </w:style>
  <w:style w:type="character" w:styleId="949" w:customStyle="1">
    <w:name w:val="批注文字 Char"/>
    <w:link w:val="893"/>
    <w:uiPriority w:val="0"/>
    <w:qFormat/>
    <w:rPr>
      <w:sz w:val="21"/>
      <w:szCs w:val="24"/>
    </w:rPr>
  </w:style>
  <w:style w:type="character" w:styleId="950" w:customStyle="1">
    <w:name w:val="称呼 Char"/>
    <w:basedOn w:val="884"/>
    <w:link w:val="894"/>
    <w:uiPriority w:val="0"/>
    <w:qFormat/>
    <w:rPr>
      <w:rFonts w:ascii="仿宋_GB2312" w:eastAsia="仿宋_GB2312"/>
      <w:sz w:val="28"/>
    </w:rPr>
  </w:style>
  <w:style w:type="character" w:styleId="951" w:customStyle="1">
    <w:name w:val="正文文本 3 Char"/>
    <w:basedOn w:val="884"/>
    <w:link w:val="895"/>
    <w:uiPriority w:val="0"/>
    <w:qFormat/>
    <w:rPr>
      <w:sz w:val="16"/>
      <w:szCs w:val="16"/>
    </w:rPr>
  </w:style>
  <w:style w:type="character" w:styleId="952" w:customStyle="1">
    <w:name w:val="正文文本 Char"/>
    <w:link w:val="896"/>
    <w:uiPriority w:val="0"/>
    <w:qFormat/>
    <w:rPr>
      <w:rFonts w:ascii="宋体" w:hAnsi="宋体"/>
      <w:sz w:val="24"/>
      <w:szCs w:val="24"/>
      <w:lang w:eastAsia="en-US"/>
    </w:rPr>
  </w:style>
  <w:style w:type="character" w:styleId="953" w:customStyle="1">
    <w:name w:val="正文文本缩进 Char"/>
    <w:link w:val="897"/>
    <w:uiPriority w:val="0"/>
    <w:qFormat/>
    <w:rPr>
      <w:sz w:val="21"/>
      <w:szCs w:val="24"/>
    </w:rPr>
  </w:style>
  <w:style w:type="character" w:styleId="954" w:customStyle="1">
    <w:name w:val="纯文本 Char2"/>
    <w:basedOn w:val="884"/>
    <w:link w:val="902"/>
    <w:uiPriority w:val="0"/>
    <w:qFormat/>
    <w:rPr>
      <w:rFonts w:ascii="宋体" w:hAnsi="Courier New" w:cs="Courier New"/>
      <w:sz w:val="21"/>
      <w:szCs w:val="21"/>
    </w:rPr>
  </w:style>
  <w:style w:type="character" w:styleId="955" w:customStyle="1">
    <w:name w:val="日期 Char1"/>
    <w:basedOn w:val="884"/>
    <w:link w:val="905"/>
    <w:uiPriority w:val="0"/>
    <w:qFormat/>
    <w:rPr>
      <w:sz w:val="21"/>
      <w:szCs w:val="24"/>
    </w:rPr>
  </w:style>
  <w:style w:type="character" w:styleId="956" w:customStyle="1">
    <w:name w:val="正文文本缩进 2 Char1"/>
    <w:basedOn w:val="884"/>
    <w:link w:val="906"/>
    <w:uiPriority w:val="0"/>
    <w:qFormat/>
    <w:rPr>
      <w:sz w:val="21"/>
      <w:szCs w:val="24"/>
    </w:rPr>
  </w:style>
  <w:style w:type="character" w:styleId="957" w:customStyle="1">
    <w:name w:val="批注框文本 Char"/>
    <w:link w:val="907"/>
    <w:uiPriority w:val="0"/>
    <w:qFormat/>
    <w:rPr>
      <w:sz w:val="18"/>
      <w:szCs w:val="18"/>
    </w:rPr>
  </w:style>
  <w:style w:type="character" w:styleId="958" w:customStyle="1">
    <w:name w:val="页脚 Char"/>
    <w:link w:val="908"/>
    <w:uiPriority w:val="0"/>
    <w:qFormat/>
    <w:rPr>
      <w:sz w:val="18"/>
      <w:szCs w:val="18"/>
    </w:rPr>
  </w:style>
  <w:style w:type="character" w:styleId="959" w:customStyle="1">
    <w:name w:val="页眉 Char"/>
    <w:link w:val="909"/>
    <w:uiPriority w:val="0"/>
    <w:qFormat/>
    <w:rPr>
      <w:sz w:val="18"/>
      <w:szCs w:val="18"/>
    </w:rPr>
  </w:style>
  <w:style w:type="character" w:styleId="960" w:customStyle="1">
    <w:name w:val="签名 Char"/>
    <w:basedOn w:val="884"/>
    <w:link w:val="910"/>
    <w:uiPriority w:val="0"/>
    <w:qFormat/>
    <w:rPr>
      <w:rFonts w:eastAsia="仿宋_GB2312"/>
      <w:sz w:val="24"/>
    </w:rPr>
  </w:style>
  <w:style w:type="character" w:styleId="961" w:customStyle="1">
    <w:name w:val="脚注文本 Char"/>
    <w:basedOn w:val="884"/>
    <w:link w:val="915"/>
    <w:uiPriority w:val="0"/>
    <w:qFormat/>
    <w:rPr>
      <w:sz w:val="18"/>
      <w:szCs w:val="18"/>
    </w:rPr>
  </w:style>
  <w:style w:type="character" w:styleId="962" w:customStyle="1">
    <w:name w:val="正文文本缩进 3 Char1"/>
    <w:basedOn w:val="884"/>
    <w:link w:val="917"/>
    <w:uiPriority w:val="0"/>
    <w:qFormat/>
    <w:rPr>
      <w:sz w:val="16"/>
      <w:szCs w:val="16"/>
    </w:rPr>
  </w:style>
  <w:style w:type="character" w:styleId="963" w:customStyle="1">
    <w:name w:val="正文文本 2 Char1"/>
    <w:basedOn w:val="884"/>
    <w:link w:val="920"/>
    <w:uiPriority w:val="0"/>
    <w:qFormat/>
    <w:rPr>
      <w:sz w:val="21"/>
      <w:szCs w:val="24"/>
    </w:rPr>
  </w:style>
  <w:style w:type="character" w:styleId="964" w:customStyle="1">
    <w:name w:val="HTML 预设格式 Char"/>
    <w:basedOn w:val="884"/>
    <w:link w:val="921"/>
    <w:uiPriority w:val="0"/>
    <w:qFormat/>
    <w:rPr>
      <w:rFonts w:ascii="宋体" w:hAnsi="宋体" w:cs="宋体"/>
      <w:sz w:val="24"/>
      <w:szCs w:val="24"/>
    </w:rPr>
  </w:style>
  <w:style w:type="character" w:styleId="965" w:customStyle="1">
    <w:name w:val="普通(网站) Char"/>
    <w:link w:val="922"/>
    <w:uiPriority w:val="0"/>
    <w:qFormat/>
    <w:rPr>
      <w:sz w:val="24"/>
      <w:szCs w:val="24"/>
    </w:rPr>
  </w:style>
  <w:style w:type="character" w:styleId="966" w:customStyle="1">
    <w:name w:val="标题 Char2"/>
    <w:basedOn w:val="884"/>
    <w:link w:val="923"/>
    <w:uiPriority w:val="0"/>
    <w:qFormat/>
    <w:rPr>
      <w:rFonts w:ascii="Cambria" w:hAnsi="Cambria" w:cs="Times New Roman"/>
      <w:b/>
      <w:bCs/>
      <w:sz w:val="32"/>
      <w:szCs w:val="32"/>
    </w:rPr>
  </w:style>
  <w:style w:type="character" w:styleId="967" w:customStyle="1">
    <w:name w:val="批注主题 Char"/>
    <w:link w:val="924"/>
    <w:uiPriority w:val="0"/>
    <w:qFormat/>
    <w:rPr>
      <w:b/>
      <w:bCs/>
      <w:sz w:val="21"/>
      <w:szCs w:val="24"/>
    </w:rPr>
  </w:style>
  <w:style w:type="character" w:styleId="968" w:customStyle="1">
    <w:name w:val="正文首行缩进 Char2"/>
    <w:basedOn w:val="952"/>
    <w:link w:val="925"/>
    <w:uiPriority w:val="0"/>
    <w:qFormat/>
    <w:rPr>
      <w:rFonts w:ascii="宋体" w:hAnsi="宋体"/>
      <w:sz w:val="21"/>
      <w:szCs w:val="24"/>
      <w:lang w:eastAsia="en-US"/>
    </w:rPr>
  </w:style>
  <w:style w:type="paragraph" w:styleId="969" w:customStyle="1">
    <w:name w:val="首行缩进"/>
    <w:basedOn w:val="874"/>
    <w:uiPriority w:val="99"/>
    <w:qFormat/>
    <w:pPr>
      <w:ind w:firstLine="480"/>
      <w:jc w:val="left"/>
      <w:spacing w:line="360" w:lineRule="auto"/>
    </w:pPr>
    <w:rPr>
      <w:rFonts w:ascii="宋体" w:hAnsi="宋体" w:eastAsia="Calibri"/>
      <w:sz w:val="24"/>
      <w:lang w:eastAsia="en-US"/>
    </w:rPr>
  </w:style>
  <w:style w:type="character" w:styleId="970" w:customStyle="1">
    <w:name w:val="批注框文本 Char Char Char Char"/>
    <w:link w:val="971"/>
    <w:uiPriority w:val="0"/>
    <w:qFormat/>
    <w:rPr>
      <w:sz w:val="18"/>
      <w:szCs w:val="18"/>
    </w:rPr>
  </w:style>
  <w:style w:type="paragraph" w:styleId="971" w:customStyle="1">
    <w:name w:val="批注框文本 Char Char"/>
    <w:basedOn w:val="874"/>
    <w:link w:val="970"/>
    <w:uiPriority w:val="0"/>
    <w:qFormat/>
    <w:rPr>
      <w:sz w:val="18"/>
      <w:szCs w:val="18"/>
    </w:rPr>
  </w:style>
  <w:style w:type="character" w:styleId="972" w:customStyle="1">
    <w:name w:val="标题 3 Char Char"/>
    <w:uiPriority w:val="0"/>
    <w:qFormat/>
    <w:rPr>
      <w:rFonts w:eastAsia="仿宋_GB2312"/>
      <w:b/>
      <w:bCs/>
      <w:sz w:val="28"/>
      <w:szCs w:val="32"/>
      <w:lang w:val="en-US" w:eastAsia="zh-CN" w:bidi="ar-SA"/>
    </w:rPr>
  </w:style>
  <w:style w:type="character" w:styleId="973" w:customStyle="1">
    <w:name w:val="hui3"/>
    <w:uiPriority w:val="0"/>
    <w:qFormat/>
    <w:rPr>
      <w:color w:val="333333"/>
    </w:rPr>
  </w:style>
  <w:style w:type="character" w:styleId="974" w:customStyle="1">
    <w:name w:val="标题 Char1"/>
    <w:uiPriority w:val="10"/>
    <w:qFormat/>
    <w:rPr>
      <w:rFonts w:ascii="Cambria" w:hAnsi="Cambria" w:cs="Times New Roman"/>
      <w:b/>
      <w:bCs/>
      <w:sz w:val="32"/>
      <w:szCs w:val="32"/>
    </w:rPr>
  </w:style>
  <w:style w:type="character" w:styleId="975" w:customStyle="1">
    <w:name w:val="小四 段落 宋体 Char1"/>
    <w:uiPriority w:val="0"/>
    <w:qFormat/>
    <w:rPr>
      <w:rFonts w:eastAsia="宋体"/>
      <w:sz w:val="24"/>
      <w:szCs w:val="24"/>
      <w:lang w:val="en-US" w:eastAsia="zh-CN" w:bidi="ar-SA"/>
    </w:rPr>
  </w:style>
  <w:style w:type="character" w:styleId="976" w:customStyle="1">
    <w:name w:val="正文文本缩进 2 Char"/>
    <w:uiPriority w:val="0"/>
    <w:qFormat/>
    <w:rPr>
      <w:rFonts w:ascii="宋体" w:hAnsi="宋体"/>
      <w:sz w:val="24"/>
      <w:szCs w:val="24"/>
    </w:rPr>
  </w:style>
  <w:style w:type="character" w:styleId="977" w:customStyle="1">
    <w:name w:val="标题 Char"/>
    <w:uiPriority w:val="0"/>
    <w:qFormat/>
    <w:rPr>
      <w:rFonts w:eastAsia="黑体"/>
      <w:b/>
      <w:sz w:val="28"/>
      <w:lang w:val="en-GB"/>
    </w:rPr>
  </w:style>
  <w:style w:type="character" w:styleId="978" w:customStyle="1">
    <w:name w:val="param_td12"/>
    <w:basedOn w:val="884"/>
    <w:uiPriority w:val="0"/>
    <w:qFormat/>
  </w:style>
  <w:style w:type="character" w:styleId="979" w:customStyle="1">
    <w:name w:val="style131"/>
    <w:uiPriority w:val="0"/>
    <w:qFormat/>
    <w:rPr>
      <w:rFonts w:cs="Times New Roman"/>
      <w:sz w:val="18"/>
      <w:szCs w:val="18"/>
    </w:rPr>
  </w:style>
  <w:style w:type="character" w:styleId="980" w:customStyle="1">
    <w:name w:val="正文文本缩进 3 Char"/>
    <w:uiPriority w:val="0"/>
    <w:qFormat/>
    <w:rPr>
      <w:b/>
      <w:bCs/>
      <w:sz w:val="24"/>
    </w:rPr>
  </w:style>
  <w:style w:type="character" w:styleId="981" w:customStyle="1">
    <w:name w:val="表蕊 Char1"/>
    <w:link w:val="982"/>
    <w:uiPriority w:val="0"/>
    <w:qFormat/>
    <w:rPr>
      <w:rFonts w:eastAsia="楷体_GB2312"/>
      <w:spacing w:val="-10"/>
      <w:sz w:val="21"/>
    </w:rPr>
  </w:style>
  <w:style w:type="paragraph" w:styleId="982" w:customStyle="1">
    <w:name w:val="表蕊"/>
    <w:basedOn w:val="874"/>
    <w:link w:val="981"/>
    <w:uiPriority w:val="0"/>
    <w:qFormat/>
    <w:pPr>
      <w:jc w:val="left"/>
      <w:spacing w:line="320" w:lineRule="atLeast"/>
    </w:pPr>
    <w:rPr>
      <w:rFonts w:eastAsia="楷体_GB2312"/>
      <w:spacing w:val="-10"/>
      <w:szCs w:val="20"/>
    </w:rPr>
  </w:style>
  <w:style w:type="character" w:styleId="983" w:customStyle="1">
    <w:name w:val="subtitle1"/>
    <w:uiPriority w:val="0"/>
    <w:qFormat/>
    <w:rPr>
      <w:rFonts w:hint="default" w:ascii="Georgia" w:hAnsi="Georgia"/>
      <w:b/>
      <w:bCs/>
      <w:color w:val="666666"/>
      <w:sz w:val="18"/>
      <w:szCs w:val="18"/>
    </w:rPr>
  </w:style>
  <w:style w:type="character" w:styleId="984" w:customStyle="1">
    <w:name w:val="normalfont1"/>
    <w:uiPriority w:val="0"/>
    <w:qFormat/>
    <w:rPr>
      <w:rFonts w:hint="default" w:ascii="ˎ̥" w:hAnsi="ˎ̥"/>
      <w:sz w:val="18"/>
      <w:szCs w:val="18"/>
      <w:u w:val="none"/>
    </w:rPr>
  </w:style>
  <w:style w:type="character" w:styleId="985" w:customStyle="1">
    <w:name w:val="特点 Char1"/>
    <w:uiPriority w:val="99"/>
    <w:qFormat/>
    <w:rPr>
      <w:rFonts w:eastAsia="宋体"/>
      <w:sz w:val="21"/>
      <w:lang w:val="en-US" w:eastAsia="zh-CN" w:bidi="ar-SA"/>
    </w:rPr>
  </w:style>
  <w:style w:type="character" w:styleId="986" w:customStyle="1">
    <w:name w:val="文档结构图 Char1"/>
    <w:uiPriority w:val="99"/>
    <w:semiHidden/>
    <w:qFormat/>
    <w:rPr>
      <w:rFonts w:ascii="宋体"/>
      <w:sz w:val="18"/>
      <w:szCs w:val="18"/>
    </w:rPr>
  </w:style>
  <w:style w:type="character" w:styleId="987"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988" w:customStyle="1">
    <w:name w:val="style_zi_2"/>
    <w:basedOn w:val="884"/>
    <w:uiPriority w:val="0"/>
    <w:qFormat/>
  </w:style>
  <w:style w:type="character" w:styleId="989" w:customStyle="1">
    <w:name w:val="小四 段落 宋体 Char Char Char1"/>
    <w:uiPriority w:val="0"/>
    <w:qFormat/>
    <w:rPr>
      <w:rFonts w:ascii="宋体" w:hAnsi="宋体" w:eastAsia="宋体"/>
      <w:sz w:val="24"/>
      <w:szCs w:val="24"/>
      <w:lang w:val="en-US" w:eastAsia="zh-CN" w:bidi="ar-SA"/>
    </w:rPr>
  </w:style>
  <w:style w:type="character" w:styleId="99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91" w:customStyle="1">
    <w:name w:val="正文首行缩进 Char"/>
    <w:uiPriority w:val="0"/>
    <w:qFormat/>
    <w:rPr>
      <w:sz w:val="21"/>
      <w:szCs w:val="24"/>
    </w:rPr>
  </w:style>
  <w:style w:type="character" w:styleId="992" w:customStyle="1">
    <w:name w:val="文档结构图 Char"/>
    <w:uiPriority w:val="0"/>
    <w:qFormat/>
    <w:rPr>
      <w:sz w:val="21"/>
      <w:szCs w:val="24"/>
      <w:shd w:val="clear" w:color="auto" w:fill="000080"/>
    </w:rPr>
  </w:style>
  <w:style w:type="character" w:styleId="993" w:customStyle="1">
    <w:name w:val="case31"/>
    <w:uiPriority w:val="0"/>
    <w:qFormat/>
    <w:rPr>
      <w:rFonts w:hint="default"/>
      <w:sz w:val="21"/>
      <w:szCs w:val="21"/>
    </w:rPr>
  </w:style>
  <w:style w:type="character" w:styleId="994" w:customStyle="1">
    <w:name w:val="textcontents"/>
    <w:uiPriority w:val="0"/>
    <w:qFormat/>
    <w:rPr>
      <w:szCs w:val="20"/>
    </w:rPr>
  </w:style>
  <w:style w:type="character" w:styleId="995" w:customStyle="1">
    <w:name w:val="正文 + 宋体 Char"/>
    <w:uiPriority w:val="0"/>
    <w:qFormat/>
    <w:rPr>
      <w:rFonts w:eastAsia="宋体"/>
      <w:sz w:val="21"/>
      <w:szCs w:val="24"/>
      <w:lang w:val="en-US" w:eastAsia="zh-CN" w:bidi="ar-SA"/>
    </w:rPr>
  </w:style>
  <w:style w:type="character" w:styleId="996" w:customStyle="1">
    <w:name w:val="正文文本 Char1"/>
    <w:uiPriority w:val="99"/>
    <w:qFormat/>
    <w:rPr>
      <w:sz w:val="21"/>
      <w:szCs w:val="24"/>
    </w:rPr>
  </w:style>
  <w:style w:type="character" w:styleId="997" w:customStyle="1">
    <w:name w:val="NormalCharacter"/>
    <w:uiPriority w:val="0"/>
    <w:qFormat/>
  </w:style>
  <w:style w:type="character" w:styleId="998" w:customStyle="1">
    <w:name w:val="华宇段落1 Char Char Char"/>
    <w:uiPriority w:val="0"/>
    <w:qFormat/>
    <w:rPr>
      <w:rFonts w:eastAsia="宋体"/>
      <w:bCs/>
      <w:sz w:val="24"/>
      <w:szCs w:val="24"/>
      <w:lang w:val="en-US" w:eastAsia="zh-CN" w:bidi="ar-SA"/>
    </w:rPr>
  </w:style>
  <w:style w:type="character" w:styleId="999" w:customStyle="1">
    <w:name w:val="批注文字 Char1"/>
    <w:uiPriority w:val="0"/>
    <w:qFormat/>
    <w:rPr>
      <w:sz w:val="21"/>
      <w:szCs w:val="24"/>
    </w:rPr>
  </w:style>
  <w:style w:type="character" w:styleId="1000" w:customStyle="1">
    <w:name w:val="纯文本 Char1"/>
    <w:uiPriority w:val="99"/>
    <w:semiHidden/>
    <w:qFormat/>
    <w:rPr>
      <w:rFonts w:ascii="宋体" w:hAnsi="Courier New" w:cs="Courier New"/>
      <w:sz w:val="21"/>
      <w:szCs w:val="21"/>
    </w:rPr>
  </w:style>
  <w:style w:type="character" w:styleId="1001" w:customStyle="1">
    <w:name w:val="1page sec3 Char"/>
    <w:uiPriority w:val="0"/>
    <w:qFormat/>
    <w:rPr>
      <w:rFonts w:eastAsia="宋体"/>
      <w:sz w:val="18"/>
      <w:lang w:val="en-US" w:eastAsia="zh-CN"/>
    </w:rPr>
  </w:style>
  <w:style w:type="character" w:styleId="1002" w:customStyle="1">
    <w:name w:val="3zw"/>
    <w:uiPriority w:val="0"/>
    <w:qFormat/>
    <w:rPr>
      <w:szCs w:val="20"/>
    </w:rPr>
  </w:style>
  <w:style w:type="character" w:styleId="1003" w:customStyle="1">
    <w:name w:val="正文首行缩进 Char1"/>
    <w:basedOn w:val="996"/>
    <w:uiPriority w:val="99"/>
    <w:semiHidden/>
    <w:qFormat/>
    <w:rPr>
      <w:sz w:val="21"/>
      <w:szCs w:val="24"/>
    </w:rPr>
  </w:style>
  <w:style w:type="character" w:styleId="1004" w:customStyle="1">
    <w:name w:val="Title1 Char"/>
    <w:uiPriority w:val="0"/>
    <w:qFormat/>
    <w:rPr>
      <w:rFonts w:eastAsia="宋体"/>
      <w:b/>
      <w:bCs/>
      <w:sz w:val="44"/>
      <w:szCs w:val="44"/>
      <w:lang w:val="en-US" w:eastAsia="zh-CN" w:bidi="ar-SA"/>
    </w:rPr>
  </w:style>
  <w:style w:type="character" w:styleId="1005" w:customStyle="1">
    <w:name w:val="页眉 Char1"/>
    <w:uiPriority w:val="99"/>
    <w:semiHidden/>
    <w:qFormat/>
    <w:rPr>
      <w:sz w:val="18"/>
      <w:szCs w:val="18"/>
    </w:rPr>
  </w:style>
  <w:style w:type="character" w:styleId="1006" w:customStyle="1">
    <w:name w:val="批注主题 Char1"/>
    <w:uiPriority w:val="99"/>
    <w:semiHidden/>
    <w:qFormat/>
    <w:rPr>
      <w:b/>
      <w:bCs/>
      <w:sz w:val="21"/>
      <w:szCs w:val="24"/>
    </w:rPr>
  </w:style>
  <w:style w:type="character" w:styleId="1007" w:customStyle="1">
    <w:name w:val="标准段落正文 Char1"/>
    <w:link w:val="1008"/>
    <w:uiPriority w:val="0"/>
    <w:qFormat/>
    <w:rPr>
      <w:sz w:val="24"/>
    </w:rPr>
  </w:style>
  <w:style w:type="paragraph" w:styleId="1008" w:customStyle="1">
    <w:name w:val="标准段落正文"/>
    <w:basedOn w:val="874"/>
    <w:link w:val="1007"/>
    <w:uiPriority w:val="0"/>
    <w:qFormat/>
    <w:pPr>
      <w:ind w:firstLine="480"/>
      <w:spacing w:line="312" w:lineRule="auto"/>
    </w:pPr>
    <w:rPr>
      <w:sz w:val="24"/>
      <w:szCs w:val="20"/>
    </w:rPr>
  </w:style>
  <w:style w:type="character" w:styleId="1009" w:customStyle="1">
    <w:name w:val="纯文本 Char"/>
    <w:uiPriority w:val="0"/>
    <w:qFormat/>
    <w:rPr>
      <w:rFonts w:ascii="宋体" w:hAnsi="Courier New"/>
      <w:sz w:val="21"/>
      <w:szCs w:val="21"/>
    </w:rPr>
  </w:style>
  <w:style w:type="character" w:styleId="1010" w:customStyle="1">
    <w:name w:val="小四 段落 宋体 Char Char Char Char Char Char Char Char"/>
    <w:uiPriority w:val="0"/>
    <w:qFormat/>
    <w:rPr>
      <w:rFonts w:eastAsia="宋体"/>
      <w:sz w:val="24"/>
      <w:szCs w:val="24"/>
      <w:lang w:val="en-US" w:eastAsia="zh-CN" w:bidi="ar-SA"/>
    </w:rPr>
  </w:style>
  <w:style w:type="character" w:styleId="1011" w:customStyle="1">
    <w:name w:val="2nd level Char"/>
    <w:uiPriority w:val="0"/>
    <w:qFormat/>
    <w:rPr>
      <w:rFonts w:ascii="Arial" w:hAnsi="Arial" w:eastAsia="黑体"/>
      <w:b/>
      <w:bCs/>
      <w:sz w:val="32"/>
      <w:szCs w:val="32"/>
      <w:lang w:val="en-US" w:eastAsia="zh-CN" w:bidi="ar-SA"/>
    </w:rPr>
  </w:style>
  <w:style w:type="character" w:styleId="1012" w:customStyle="1">
    <w:name w:val="小四 段落 宋体 Char Char Char Char1"/>
    <w:uiPriority w:val="0"/>
    <w:qFormat/>
    <w:rPr>
      <w:rFonts w:eastAsia="宋体"/>
      <w:sz w:val="24"/>
      <w:szCs w:val="24"/>
      <w:lang w:val="en-US" w:eastAsia="zh-CN" w:bidi="ar-SA"/>
    </w:rPr>
  </w:style>
  <w:style w:type="character" w:styleId="1013" w:customStyle="1">
    <w:name w:val="样式 宋体 小四"/>
    <w:uiPriority w:val="0"/>
    <w:qFormat/>
    <w:rPr>
      <w:rFonts w:ascii="宋体" w:hAnsi="宋体"/>
      <w:sz w:val="24"/>
    </w:rPr>
  </w:style>
  <w:style w:type="character" w:styleId="1014" w:customStyle="1">
    <w:name w:val="表头 Char"/>
    <w:link w:val="1015"/>
    <w:uiPriority w:val="0"/>
    <w:qFormat/>
    <w:rPr>
      <w:rFonts w:eastAsia="黑体"/>
      <w:spacing w:val="-10"/>
      <w:sz w:val="21"/>
    </w:rPr>
  </w:style>
  <w:style w:type="paragraph" w:styleId="1015" w:customStyle="1">
    <w:name w:val="表头"/>
    <w:basedOn w:val="874"/>
    <w:link w:val="1014"/>
    <w:uiPriority w:val="0"/>
    <w:qFormat/>
    <w:pPr>
      <w:jc w:val="center"/>
      <w:spacing w:line="320" w:lineRule="atLeast"/>
    </w:pPr>
    <w:rPr>
      <w:rFonts w:eastAsia="黑体"/>
      <w:spacing w:val="-10"/>
      <w:szCs w:val="20"/>
    </w:rPr>
  </w:style>
  <w:style w:type="character" w:styleId="1016" w:customStyle="1">
    <w:name w:val="标准文本 Char Char"/>
    <w:uiPriority w:val="0"/>
    <w:qFormat/>
    <w:rPr>
      <w:rFonts w:eastAsia="宋体" w:cs="宋体"/>
      <w:sz w:val="24"/>
      <w:szCs w:val="24"/>
      <w:lang w:val="en-US" w:eastAsia="zh-CN" w:bidi="ar-SA"/>
    </w:rPr>
  </w:style>
  <w:style w:type="character" w:styleId="1017" w:customStyle="1">
    <w:name w:val="页脚 Char1"/>
    <w:uiPriority w:val="99"/>
    <w:semiHidden/>
    <w:qFormat/>
    <w:rPr>
      <w:sz w:val="18"/>
      <w:szCs w:val="18"/>
    </w:rPr>
  </w:style>
  <w:style w:type="character" w:styleId="1018" w:customStyle="1">
    <w:name w:val="标题 3 Char1"/>
    <w:uiPriority w:val="0"/>
    <w:qFormat/>
    <w:rPr>
      <w:rFonts w:eastAsia="宋体"/>
      <w:b/>
      <w:bCs/>
      <w:sz w:val="32"/>
      <w:szCs w:val="32"/>
      <w:lang w:val="en-US" w:eastAsia="zh-CN" w:bidi="ar-SA"/>
    </w:rPr>
  </w:style>
  <w:style w:type="character" w:styleId="1019" w:customStyle="1">
    <w:name w:val="日期 Char"/>
    <w:uiPriority w:val="0"/>
    <w:qFormat/>
    <w:rPr>
      <w:sz w:val="28"/>
    </w:rPr>
  </w:style>
  <w:style w:type="character" w:styleId="1020" w:customStyle="1">
    <w:name w:val="标准小四 Char Char"/>
    <w:uiPriority w:val="0"/>
    <w:qFormat/>
    <w:rPr>
      <w:rFonts w:ascii="Arial" w:hAnsi="Arial" w:eastAsia="宋体"/>
      <w:sz w:val="24"/>
      <w:szCs w:val="21"/>
      <w:lang w:val="en-US" w:eastAsia="zh-CN" w:bidi="ar-SA"/>
    </w:rPr>
  </w:style>
  <w:style w:type="character" w:styleId="1021" w:customStyle="1">
    <w:name w:val="宏文本 Char"/>
    <w:uiPriority w:val="0"/>
    <w:qFormat/>
    <w:rPr>
      <w:rFonts w:ascii="Courier New" w:hAnsi="Courier New"/>
      <w:lang w:val="en-US" w:eastAsia="zh-CN" w:bidi="ar-SA"/>
    </w:rPr>
  </w:style>
  <w:style w:type="character" w:styleId="1022" w:customStyle="1">
    <w:name w:val="缺省文本 Char"/>
    <w:link w:val="1023"/>
    <w:uiPriority w:val="0"/>
    <w:qFormat/>
    <w:rPr>
      <w:sz w:val="24"/>
      <w:szCs w:val="24"/>
    </w:rPr>
  </w:style>
  <w:style w:type="paragraph" w:styleId="1023" w:customStyle="1">
    <w:name w:val="缺省文本"/>
    <w:basedOn w:val="874"/>
    <w:link w:val="1022"/>
    <w:uiPriority w:val="0"/>
    <w:qFormat/>
    <w:pPr>
      <w:jc w:val="left"/>
    </w:pPr>
    <w:rPr>
      <w:sz w:val="24"/>
    </w:rPr>
  </w:style>
  <w:style w:type="character" w:styleId="1024" w:customStyle="1">
    <w:name w:val="content_lineheight1"/>
    <w:uiPriority w:val="0"/>
    <w:qFormat/>
    <w:rPr>
      <w:szCs w:val="20"/>
    </w:rPr>
  </w:style>
  <w:style w:type="character" w:styleId="1025" w:customStyle="1">
    <w:name w:val="正文文本 2 Char"/>
    <w:uiPriority w:val="0"/>
    <w:qFormat/>
    <w:rPr>
      <w:b/>
      <w:bCs/>
      <w:sz w:val="72"/>
    </w:rPr>
  </w:style>
  <w:style w:type="character" w:styleId="1026" w:customStyle="1">
    <w:name w:val="ih151"/>
    <w:uiPriority w:val="0"/>
    <w:qFormat/>
    <w:rPr>
      <w:color w:val="666666"/>
      <w:sz w:val="18"/>
      <w:szCs w:val="18"/>
      <w:u w:val="none"/>
    </w:rPr>
  </w:style>
  <w:style w:type="paragraph" w:styleId="1027" w:customStyle="1">
    <w:name w:val="xl102"/>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28" w:customStyle="1">
    <w:name w:val="正文缩进2字符"/>
    <w:basedOn w:val="874"/>
    <w:uiPriority w:val="0"/>
    <w:qFormat/>
    <w:pPr>
      <w:ind w:firstLine="200"/>
      <w:spacing w:line="300" w:lineRule="auto"/>
    </w:pPr>
    <w:rPr>
      <w:rFonts w:ascii="仿宋_GB2312" w:eastAsia="仿宋_GB2312"/>
      <w:sz w:val="32"/>
      <w:szCs w:val="32"/>
    </w:rPr>
  </w:style>
  <w:style w:type="paragraph" w:styleId="1029" w:customStyle="1">
    <w:name w:val="xl51"/>
    <w:basedOn w:val="87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30" w:customStyle="1">
    <w:name w:val="Table Paragraph"/>
    <w:basedOn w:val="874"/>
    <w:uiPriority w:val="1"/>
    <w:qFormat/>
    <w:rPr>
      <w:rFonts w:cs="宋体"/>
      <w:lang w:val="zh-CN" w:bidi="zh-CN"/>
    </w:rPr>
  </w:style>
  <w:style w:type="paragraph" w:styleId="1031" w:customStyle="1">
    <w:name w:val="xl95"/>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32"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033" w:customStyle="1">
    <w:name w:val="xl53"/>
    <w:basedOn w:val="87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34" w:customStyle="1">
    <w:name w:val="样式 标题 3H3sect1.2.3BOD 0Heading 3 - oldh3l3CTLevel 3 Head..."/>
    <w:basedOn w:val="877"/>
    <w:uiPriority w:val="0"/>
    <w:qFormat/>
    <w:pPr>
      <w:jc w:val="left"/>
      <w:spacing w:line="240" w:lineRule="auto"/>
    </w:pPr>
    <w:rPr>
      <w:rFonts w:cs="宋体"/>
      <w:sz w:val="30"/>
      <w:szCs w:val="20"/>
    </w:rPr>
  </w:style>
  <w:style w:type="paragraph" w:styleId="1035" w:customStyle="1">
    <w:name w:val="Char"/>
    <w:basedOn w:val="892"/>
    <w:uiPriority w:val="0"/>
    <w:qFormat/>
    <w:rPr>
      <w:rFonts w:ascii="Tahoma" w:hAnsi="Tahoma"/>
      <w:sz w:val="24"/>
    </w:rPr>
  </w:style>
  <w:style w:type="paragraph" w:styleId="1036" w:customStyle="1">
    <w:name w:val="公文标题 2"/>
    <w:basedOn w:val="874"/>
    <w:next w:val="1037"/>
    <w:uiPriority w:val="0"/>
    <w:qFormat/>
    <w:pPr>
      <w:outlineLvl w:val="1"/>
    </w:pPr>
    <w:rPr>
      <w:rFonts w:ascii="仿宋_GB2312" w:hAnsi="宋体" w:eastAsia="仿宋_GB2312"/>
      <w:sz w:val="28"/>
    </w:rPr>
  </w:style>
  <w:style w:type="paragraph" w:styleId="1037" w:customStyle="1">
    <w:name w:val="公文正文"/>
    <w:basedOn w:val="897"/>
    <w:uiPriority w:val="0"/>
    <w:qFormat/>
    <w:pPr>
      <w:ind w:left="0" w:firstLine="200"/>
      <w:spacing w:after="0"/>
    </w:pPr>
    <w:rPr>
      <w:rFonts w:ascii="仿宋_GB2312" w:hAnsi="宋体" w:eastAsia="仿宋_GB2312"/>
      <w:sz w:val="28"/>
    </w:rPr>
  </w:style>
  <w:style w:type="paragraph" w:styleId="1038"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039" w:customStyle="1">
    <w:name w:val="xl78"/>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40" w:customStyle="1">
    <w:name w:val="条1"/>
    <w:basedOn w:val="874"/>
    <w:uiPriority w:val="0"/>
    <w:qFormat/>
    <w:pPr>
      <w:ind w:left="780" w:hanging="360"/>
      <w:spacing w:before="156" w:line="360" w:lineRule="auto"/>
      <w:tabs>
        <w:tab w:val="left" w:pos="780" w:leader="none"/>
      </w:tabs>
    </w:pPr>
    <w:rPr>
      <w:rFonts w:eastAsia="黑体"/>
      <w:sz w:val="24"/>
      <w:szCs w:val="20"/>
    </w:rPr>
  </w:style>
  <w:style w:type="paragraph" w:styleId="1041" w:customStyle="1">
    <w:name w:val="xl61"/>
    <w:basedOn w:val="87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42" w:customStyle="1">
    <w:name w:val="标题1，章节第一层"/>
    <w:basedOn w:val="1043"/>
    <w:next w:val="1043"/>
    <w:uiPriority w:val="0"/>
    <w:qFormat/>
    <w:pPr>
      <w:ind w:left="482"/>
      <w:tabs>
        <w:tab w:val="left" w:pos="693" w:leader="none"/>
      </w:tabs>
      <w:outlineLvl w:val="0"/>
    </w:pPr>
    <w:rPr>
      <w:color w:val="000000"/>
      <w:sz w:val="24"/>
      <w:szCs w:val="24"/>
    </w:rPr>
  </w:style>
  <w:style w:type="paragraph" w:styleId="1043" w:customStyle="1">
    <w:name w:val="正文格式"/>
    <w:basedOn w:val="874"/>
    <w:uiPriority w:val="0"/>
    <w:qFormat/>
    <w:pPr>
      <w:ind w:left="178" w:right="44" w:hanging="178"/>
      <w:jc w:val="left"/>
      <w:spacing w:line="360" w:lineRule="auto"/>
      <w:widowControl/>
    </w:pPr>
    <w:rPr>
      <w:rFonts w:ascii="宋体" w:hAnsi="宋体"/>
      <w:bCs/>
      <w:szCs w:val="21"/>
    </w:rPr>
  </w:style>
  <w:style w:type="paragraph" w:styleId="1044" w:customStyle="1">
    <w:name w:val="样式 小四 段前: 5 磅 段后: 5 磅 首行缩进:  2 字符"/>
    <w:basedOn w:val="874"/>
    <w:uiPriority w:val="0"/>
    <w:qFormat/>
    <w:pPr>
      <w:spacing w:line="360" w:lineRule="auto"/>
    </w:pPr>
    <w:rPr>
      <w:rFonts w:ascii="宋体" w:hAnsi="宋体"/>
      <w:szCs w:val="21"/>
    </w:rPr>
  </w:style>
  <w:style w:type="paragraph" w:styleId="1045" w:customStyle="1">
    <w:name w:val="xl43"/>
    <w:basedOn w:val="8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046" w:customStyle="1">
    <w:name w:val="Char2 Char Char Char"/>
    <w:basedOn w:val="892"/>
    <w:uiPriority w:val="0"/>
    <w:qFormat/>
    <w:rPr>
      <w:rFonts w:ascii="Tahoma" w:hAnsi="Tahoma"/>
      <w:sz w:val="24"/>
    </w:rPr>
  </w:style>
  <w:style w:type="paragraph" w:styleId="1047" w:customStyle="1">
    <w:name w:val="xl25"/>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48" w:customStyle="1">
    <w:name w:val="小四 段落 宋体 Char"/>
    <w:basedOn w:val="890"/>
    <w:uiPriority w:val="0"/>
    <w:qFormat/>
    <w:pPr>
      <w:ind w:left="0" w:right="-33" w:firstLine="600"/>
      <w:jc w:val="left"/>
      <w:tabs>
        <w:tab w:val="clear" w:pos="2952" w:leader="none"/>
      </w:tabs>
    </w:pPr>
    <w:rPr>
      <w:rFonts w:ascii="仿宋_GB2312" w:eastAsia="仿宋_GB2312"/>
      <w:sz w:val="30"/>
      <w:szCs w:val="30"/>
    </w:rPr>
  </w:style>
  <w:style w:type="paragraph" w:styleId="1049" w:customStyle="1">
    <w:name w:val="xl91"/>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50" w:customStyle="1">
    <w:name w:val="样式 加粗 居中"/>
    <w:basedOn w:val="874"/>
    <w:uiPriority w:val="0"/>
    <w:qFormat/>
    <w:pPr>
      <w:jc w:val="center"/>
    </w:pPr>
    <w:rPr>
      <w:rFonts w:eastAsia="黑体"/>
      <w:b/>
      <w:sz w:val="48"/>
      <w:szCs w:val="20"/>
    </w:rPr>
  </w:style>
  <w:style w:type="paragraph" w:styleId="1051" w:customStyle="1">
    <w:name w:val="font5"/>
    <w:basedOn w:val="874"/>
    <w:uiPriority w:val="0"/>
    <w:qFormat/>
    <w:pPr>
      <w:jc w:val="left"/>
      <w:spacing w:before="100" w:beforeAutospacing="1" w:after="100" w:afterAutospacing="1"/>
      <w:widowControl/>
    </w:pPr>
    <w:rPr>
      <w:rFonts w:hint="eastAsia" w:ascii="宋体" w:hAnsi="宋体"/>
      <w:sz w:val="18"/>
      <w:szCs w:val="18"/>
    </w:rPr>
  </w:style>
  <w:style w:type="paragraph" w:styleId="1052" w:customStyle="1">
    <w:name w:val="xl54"/>
    <w:basedOn w:val="87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1053" w:customStyle="1">
    <w:name w:val="xl72"/>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54" w:customStyle="1">
    <w:name w:val="Char Char Char Char"/>
    <w:basedOn w:val="874"/>
    <w:uiPriority w:val="0"/>
    <w:qFormat/>
    <w:pPr>
      <w:jc w:val="center"/>
      <w:spacing w:after="160" w:line="240" w:lineRule="exact"/>
      <w:widowControl/>
    </w:pPr>
    <w:rPr>
      <w:rFonts w:ascii="黑体" w:hAnsi="Verdana" w:eastAsia="黑体"/>
      <w:sz w:val="32"/>
      <w:szCs w:val="32"/>
      <w:lang w:eastAsia="en-US"/>
    </w:rPr>
  </w:style>
  <w:style w:type="paragraph" w:styleId="1055" w:customStyle="1">
    <w:name w:val="font14"/>
    <w:basedOn w:val="874"/>
    <w:uiPriority w:val="0"/>
    <w:qFormat/>
    <w:pPr>
      <w:jc w:val="left"/>
      <w:spacing w:before="100" w:beforeAutospacing="1" w:after="100" w:afterAutospacing="1"/>
      <w:widowControl/>
    </w:pPr>
    <w:rPr>
      <w:sz w:val="36"/>
      <w:szCs w:val="36"/>
    </w:rPr>
  </w:style>
  <w:style w:type="paragraph" w:styleId="1056" w:customStyle="1">
    <w:name w:val="Char Char Char Char Char Char Char Char Char Char Char Char Char Char Char Char Char Char Char Char Char Char Char Char Char Char Char Char Char Char Char Char Char"/>
    <w:basedOn w:val="874"/>
    <w:uiPriority w:val="0"/>
    <w:qFormat/>
    <w:pPr>
      <w:jc w:val="left"/>
      <w:spacing w:after="160" w:line="240" w:lineRule="exact"/>
      <w:widowControl/>
    </w:pPr>
    <w:rPr>
      <w:rFonts w:ascii="Verdana" w:hAnsi="Verdana" w:eastAsia="仿宋_GB2312"/>
      <w:sz w:val="24"/>
      <w:szCs w:val="20"/>
      <w:lang w:eastAsia="en-US"/>
    </w:rPr>
  </w:style>
  <w:style w:type="paragraph" w:styleId="1057" w:customStyle="1">
    <w:name w:val="样式 小四 行距: 1.5 倍行距 首行缩进:  2 字符"/>
    <w:basedOn w:val="874"/>
    <w:uiPriority w:val="0"/>
    <w:qFormat/>
    <w:pPr>
      <w:ind w:firstLine="480"/>
      <w:spacing w:line="360" w:lineRule="auto"/>
    </w:pPr>
    <w:rPr>
      <w:rFonts w:cs="宋体"/>
      <w:sz w:val="24"/>
      <w:szCs w:val="20"/>
    </w:rPr>
  </w:style>
  <w:style w:type="paragraph" w:styleId="1058" w:customStyle="1">
    <w:name w:val="表头_5"/>
    <w:basedOn w:val="874"/>
    <w:uiPriority w:val="0"/>
    <w:qFormat/>
    <w:pPr>
      <w:spacing w:line="360" w:lineRule="auto"/>
    </w:pPr>
    <w:rPr>
      <w:b/>
      <w:bCs/>
      <w:sz w:val="28"/>
      <w:szCs w:val="21"/>
    </w:rPr>
  </w:style>
  <w:style w:type="paragraph" w:styleId="1059" w:customStyle="1">
    <w:name w:val="Char Char1 Char Char Char Char Char Char Char Char"/>
    <w:basedOn w:val="874"/>
    <w:uiPriority w:val="0"/>
    <w:qFormat/>
    <w:pPr>
      <w:jc w:val="left"/>
      <w:spacing w:after="160" w:line="240" w:lineRule="exact"/>
      <w:widowControl/>
    </w:pPr>
    <w:rPr>
      <w:rFonts w:ascii="Verdana" w:hAnsi="Verdana"/>
      <w:sz w:val="20"/>
      <w:szCs w:val="20"/>
      <w:lang w:eastAsia="en-US"/>
    </w:rPr>
  </w:style>
  <w:style w:type="paragraph" w:styleId="1060" w:customStyle="1">
    <w:name w:val="xl94"/>
    <w:basedOn w:val="8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61" w:customStyle="1">
    <w:name w:val="Char Char Char Char Char Char"/>
    <w:basedOn w:val="874"/>
    <w:uiPriority w:val="0"/>
    <w:qFormat/>
    <w:rPr>
      <w:rFonts w:ascii="Tahoma" w:hAnsi="Tahoma"/>
      <w:sz w:val="24"/>
      <w:szCs w:val="20"/>
    </w:rPr>
  </w:style>
  <w:style w:type="paragraph" w:styleId="1062" w:customStyle="1">
    <w:name w:val="Birdseed"/>
    <w:basedOn w:val="874"/>
    <w:uiPriority w:val="0"/>
    <w:qFormat/>
    <w:pPr>
      <w:jc w:val="left"/>
      <w:widowControl/>
    </w:pPr>
    <w:rPr>
      <w:rFonts w:ascii="Palatino Linotype" w:hAnsi="Palatino Linotype"/>
      <w:sz w:val="18"/>
      <w:szCs w:val="20"/>
    </w:rPr>
  </w:style>
  <w:style w:type="paragraph" w:styleId="1063" w:customStyle="1">
    <w:name w:val="BodyTextIndent"/>
    <w:basedOn w:val="874"/>
    <w:uiPriority w:val="0"/>
    <w:qFormat/>
    <w:pPr>
      <w:ind w:left="420"/>
      <w:spacing w:after="120"/>
    </w:pPr>
    <w:rPr>
      <w:sz w:val="24"/>
    </w:rPr>
  </w:style>
  <w:style w:type="paragraph" w:styleId="1064" w:customStyle="1">
    <w:name w:val="马刚标题4"/>
    <w:basedOn w:val="1065"/>
    <w:next w:val="874"/>
    <w:uiPriority w:val="0"/>
    <w:qFormat/>
    <w:pPr>
      <w:spacing w:before="100" w:after="40"/>
      <w:tabs>
        <w:tab w:val="left" w:pos="567" w:leader="none"/>
        <w:tab w:val="left" w:pos="735" w:leader="none"/>
        <w:tab w:val="left" w:pos="1050" w:leader="none"/>
      </w:tabs>
      <w:outlineLvl w:val="3"/>
    </w:pPr>
    <w:rPr>
      <w:b w:val="0"/>
    </w:rPr>
  </w:style>
  <w:style w:type="paragraph" w:styleId="1065" w:customStyle="1">
    <w:name w:val="马刚标题3"/>
    <w:basedOn w:val="874"/>
    <w:next w:val="87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66" w:customStyle="1">
    <w:name w:val="段落"/>
    <w:uiPriority w:val="0"/>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067" w:customStyle="1">
    <w:name w:val="xl44"/>
    <w:basedOn w:val="87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068" w:customStyle="1">
    <w:name w:val="xl67"/>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69" w:customStyle="1">
    <w:name w:val="符号与编号 Char Char"/>
    <w:basedOn w:val="874"/>
    <w:uiPriority w:val="0"/>
    <w:qFormat/>
    <w:pPr>
      <w:ind w:left="839" w:hanging="419"/>
      <w:spacing w:line="400" w:lineRule="atLeast"/>
      <w:tabs>
        <w:tab w:val="left" w:pos="840" w:leader="none"/>
      </w:tabs>
    </w:pPr>
    <w:rPr>
      <w:sz w:val="24"/>
    </w:rPr>
  </w:style>
  <w:style w:type="paragraph" w:styleId="1070" w:customStyle="1">
    <w:name w:val="xl59"/>
    <w:basedOn w:val="8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071" w:customStyle="1">
    <w:name w:val="华宇段落1 Char"/>
    <w:basedOn w:val="874"/>
    <w:uiPriority w:val="0"/>
    <w:qFormat/>
    <w:pPr>
      <w:ind w:firstLine="200"/>
      <w:spacing w:line="360" w:lineRule="auto"/>
    </w:pPr>
    <w:rPr>
      <w:bCs/>
      <w:sz w:val="24"/>
    </w:rPr>
  </w:style>
  <w:style w:type="paragraph" w:styleId="1072" w:customStyle="1">
    <w:name w:val="样式4 Char"/>
    <w:basedOn w:val="874"/>
    <w:uiPriority w:val="0"/>
    <w:qFormat/>
    <w:pPr>
      <w:ind w:firstLine="480"/>
      <w:jc w:val="left"/>
      <w:spacing w:line="360" w:lineRule="auto"/>
      <w:widowControl/>
    </w:pPr>
    <w:rPr>
      <w:rFonts w:cs="宋体"/>
      <w:color w:val="000000"/>
      <w:sz w:val="24"/>
    </w:rPr>
  </w:style>
  <w:style w:type="paragraph" w:styleId="1073" w:customStyle="1">
    <w:name w:val="font12"/>
    <w:basedOn w:val="874"/>
    <w:uiPriority w:val="0"/>
    <w:qFormat/>
    <w:pPr>
      <w:jc w:val="left"/>
      <w:spacing w:before="100" w:beforeAutospacing="1" w:after="100" w:afterAutospacing="1"/>
      <w:widowControl/>
    </w:pPr>
    <w:rPr>
      <w:rFonts w:hint="eastAsia" w:ascii="宋体" w:hAnsi="宋体"/>
      <w:sz w:val="36"/>
      <w:szCs w:val="36"/>
    </w:rPr>
  </w:style>
  <w:style w:type="paragraph" w:styleId="1074" w:customStyle="1">
    <w:name w:val="正文 + 宋体"/>
    <w:basedOn w:val="874"/>
    <w:uiPriority w:val="0"/>
    <w:qFormat/>
    <w:pPr>
      <w:ind w:firstLine="420"/>
      <w:spacing w:line="360" w:lineRule="auto"/>
    </w:pPr>
  </w:style>
  <w:style w:type="paragraph" w:styleId="1075" w:customStyle="1">
    <w:name w:val="Char Char1 Char"/>
    <w:basedOn w:val="874"/>
    <w:uiPriority w:val="0"/>
    <w:qFormat/>
    <w:pPr>
      <w:jc w:val="left"/>
      <w:spacing w:after="160" w:line="240" w:lineRule="exact"/>
      <w:widowControl/>
    </w:pPr>
    <w:rPr>
      <w:rFonts w:ascii="Verdana" w:hAnsi="Verdana"/>
      <w:sz w:val="20"/>
      <w:szCs w:val="20"/>
      <w:lang w:eastAsia="en-US"/>
    </w:rPr>
  </w:style>
  <w:style w:type="paragraph" w:styleId="1076"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077" w:customStyle="1">
    <w:name w:val="Char Char Char Char1"/>
    <w:basedOn w:val="892"/>
    <w:uiPriority w:val="0"/>
    <w:qFormat/>
    <w:pPr>
      <w:spacing w:line="360" w:lineRule="auto"/>
    </w:pPr>
    <w:rPr>
      <w:rFonts w:ascii="Tahoma" w:hAnsi="Tahoma"/>
      <w:sz w:val="24"/>
    </w:rPr>
  </w:style>
  <w:style w:type="paragraph" w:styleId="1078" w:customStyle="1">
    <w:name w:val="Char Char Char Char Char Char Char Char Char Char Char Char Char Char Char Char Char Char Char Char Char Char Char"/>
    <w:basedOn w:val="874"/>
    <w:uiPriority w:val="0"/>
    <w:qFormat/>
    <w:rPr>
      <w:rFonts w:ascii="Tahoma" w:hAnsi="Tahoma"/>
      <w:sz w:val="24"/>
      <w:szCs w:val="20"/>
    </w:rPr>
  </w:style>
  <w:style w:type="paragraph" w:styleId="1079" w:customStyle="1">
    <w:name w:val="xl110"/>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80" w:customStyle="1">
    <w:name w:val="xl56"/>
    <w:basedOn w:val="87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81">
    <w:name w:val="List Paragraph"/>
    <w:basedOn w:val="874"/>
    <w:link w:val="1284"/>
    <w:uiPriority w:val="99"/>
    <w:qFormat/>
    <w:pPr>
      <w:ind w:firstLine="420"/>
    </w:pPr>
    <w:rPr>
      <w:rFonts w:ascii="Calibri" w:hAnsi="Calibri"/>
      <w:szCs w:val="22"/>
    </w:rPr>
  </w:style>
  <w:style w:type="paragraph" w:styleId="1082" w:customStyle="1">
    <w:name w:val="xl52"/>
    <w:basedOn w:val="87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83" w:customStyle="1">
    <w:name w:val="xl119"/>
    <w:basedOn w:val="8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84" w:customStyle="1">
    <w:name w:val="段"/>
    <w:next w:val="874"/>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1085" w:customStyle="1">
    <w:name w:val="Char Char Char1 Char Char Char Char"/>
    <w:basedOn w:val="874"/>
    <w:uiPriority w:val="0"/>
    <w:qFormat/>
    <w:pPr>
      <w:jc w:val="left"/>
      <w:spacing w:after="160" w:line="240" w:lineRule="exact"/>
      <w:widowControl/>
    </w:pPr>
  </w:style>
  <w:style w:type="paragraph" w:styleId="1086" w:customStyle="1">
    <w:name w:val="Char2"/>
    <w:basedOn w:val="874"/>
    <w:uiPriority w:val="0"/>
    <w:qFormat/>
    <w:pPr>
      <w:spacing w:line="360" w:lineRule="auto"/>
    </w:pPr>
    <w:rPr>
      <w:rFonts w:ascii="Tahoma" w:hAnsi="Tahoma"/>
      <w:sz w:val="24"/>
      <w:szCs w:val="20"/>
    </w:rPr>
  </w:style>
  <w:style w:type="paragraph" w:styleId="1087" w:customStyle="1">
    <w:name w:val="xl45"/>
    <w:basedOn w:val="874"/>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1088" w:customStyle="1">
    <w:name w:val="样式2"/>
    <w:basedOn w:val="874"/>
    <w:uiPriority w:val="0"/>
    <w:qFormat/>
    <w:pPr>
      <w:ind w:left="200"/>
      <w:spacing w:line="360" w:lineRule="auto"/>
    </w:pPr>
    <w:rPr>
      <w:rFonts w:ascii="宋体" w:hAnsi="宋体"/>
      <w:b/>
      <w:sz w:val="24"/>
    </w:rPr>
  </w:style>
  <w:style w:type="paragraph" w:styleId="1089" w:customStyle="1">
    <w:name w:val="Char1"/>
    <w:basedOn w:val="874"/>
    <w:uiPriority w:val="0"/>
    <w:qFormat/>
    <w:rPr>
      <w:rFonts w:ascii="仿宋_GB2312" w:eastAsia="仿宋_GB2312"/>
      <w:b/>
      <w:sz w:val="32"/>
      <w:szCs w:val="32"/>
    </w:rPr>
  </w:style>
  <w:style w:type="paragraph" w:styleId="1090" w:customStyle="1">
    <w:name w:val="xl120"/>
    <w:basedOn w:val="874"/>
    <w:uiPriority w:val="0"/>
    <w:qFormat/>
    <w:pPr>
      <w:jc w:val="left"/>
      <w:spacing w:before="100" w:beforeAutospacing="1" w:after="100" w:afterAutospacing="1"/>
      <w:widowControl/>
    </w:pPr>
    <w:rPr>
      <w:rFonts w:ascii="宋体" w:hAnsi="宋体" w:cs="宋体"/>
      <w:sz w:val="24"/>
    </w:rPr>
  </w:style>
  <w:style w:type="paragraph" w:styleId="1091" w:customStyle="1">
    <w:name w:val="a14"/>
    <w:basedOn w:val="874"/>
    <w:uiPriority w:val="0"/>
    <w:qFormat/>
    <w:pPr>
      <w:ind w:firstLine="375"/>
      <w:jc w:val="left"/>
      <w:spacing w:before="100" w:beforeAutospacing="1" w:after="100" w:afterAutospacing="1" w:line="300" w:lineRule="atLeast"/>
      <w:widowControl/>
    </w:pPr>
    <w:rPr>
      <w:rFonts w:ascii="宋体" w:hAnsi="宋体"/>
      <w:szCs w:val="21"/>
    </w:rPr>
  </w:style>
  <w:style w:type="paragraph" w:styleId="1092" w:customStyle="1">
    <w:name w:val="符号与编号"/>
    <w:basedOn w:val="874"/>
    <w:uiPriority w:val="0"/>
    <w:qFormat/>
    <w:pPr>
      <w:ind w:left="900" w:hanging="420"/>
      <w:spacing w:line="400" w:lineRule="atLeast"/>
      <w:tabs>
        <w:tab w:val="left" w:pos="900" w:leader="none"/>
      </w:tabs>
    </w:pPr>
    <w:rPr>
      <w:sz w:val="24"/>
    </w:rPr>
  </w:style>
  <w:style w:type="paragraph" w:styleId="1093" w:customStyle="1">
    <w:name w:val="Char Char2 Char"/>
    <w:basedOn w:val="874"/>
    <w:uiPriority w:val="0"/>
    <w:qFormat/>
    <w:pPr>
      <w:ind w:left="390" w:hanging="390"/>
      <w:keepLines/>
      <w:keepNext/>
      <w:pageBreakBefore/>
      <w:tabs>
        <w:tab w:val="left" w:pos="390" w:leader="none"/>
      </w:tabs>
    </w:pPr>
    <w:rPr>
      <w:rFonts w:ascii="Tahoma" w:hAnsi="Tahoma"/>
      <w:sz w:val="24"/>
      <w:szCs w:val="20"/>
    </w:rPr>
  </w:style>
  <w:style w:type="paragraph" w:styleId="1094" w:customStyle="1">
    <w:name w:val="xl34"/>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95" w:customStyle="1">
    <w:name w:val="xl73"/>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96" w:customStyle="1">
    <w:name w:val="xl97"/>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97" w:customStyle="1">
    <w:name w:val="xl62"/>
    <w:basedOn w:val="87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98" w:customStyle="1">
    <w:name w:val="小四 段落 宋体 Char Char Char"/>
    <w:basedOn w:val="890"/>
    <w:uiPriority w:val="0"/>
    <w:qFormat/>
    <w:pPr>
      <w:ind w:left="0" w:right="-33" w:firstLine="545"/>
      <w:jc w:val="left"/>
      <w:spacing w:line="360" w:lineRule="auto"/>
      <w:tabs>
        <w:tab w:val="clear" w:pos="2952" w:leader="none"/>
      </w:tabs>
    </w:pPr>
    <w:rPr>
      <w:sz w:val="24"/>
    </w:rPr>
  </w:style>
  <w:style w:type="paragraph" w:styleId="1099" w:customStyle="1">
    <w:name w:val="font7"/>
    <w:basedOn w:val="874"/>
    <w:uiPriority w:val="0"/>
    <w:qFormat/>
    <w:pPr>
      <w:jc w:val="left"/>
      <w:spacing w:before="100" w:beforeAutospacing="1" w:after="100" w:afterAutospacing="1"/>
      <w:widowControl/>
    </w:pPr>
    <w:rPr>
      <w:rFonts w:hint="eastAsia" w:ascii="宋体" w:hAnsi="宋体"/>
      <w:b/>
      <w:bCs/>
      <w:sz w:val="24"/>
    </w:rPr>
  </w:style>
  <w:style w:type="paragraph" w:styleId="1100" w:customStyle="1">
    <w:name w:val="zw"/>
    <w:basedOn w:val="874"/>
    <w:uiPriority w:val="0"/>
    <w:qFormat/>
    <w:pPr>
      <w:ind w:firstLine="480"/>
      <w:jc w:val="left"/>
      <w:spacing w:line="360" w:lineRule="auto"/>
      <w:widowControl/>
    </w:pPr>
    <w:rPr>
      <w:rFonts w:ascii="宋体" w:hAnsi="宋体"/>
      <w:bCs/>
      <w:sz w:val="24"/>
      <w:szCs w:val="20"/>
    </w:rPr>
  </w:style>
  <w:style w:type="paragraph" w:styleId="1101" w:customStyle="1">
    <w:name w:val="xl33"/>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102" w:customStyle="1">
    <w:name w:val="xl28"/>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03" w:customStyle="1">
    <w:name w:val="丁华正文"/>
    <w:basedOn w:val="917"/>
    <w:uiPriority w:val="0"/>
    <w:qFormat/>
    <w:pPr>
      <w:ind w:left="0" w:firstLine="510"/>
      <w:spacing w:before="0" w:after="0" w:line="360" w:lineRule="auto"/>
    </w:pPr>
    <w:rPr>
      <w:rFonts w:ascii="宋体" w:hAnsi="Arial"/>
      <w:bCs w:val="0"/>
      <w:color w:val="000000"/>
      <w:szCs w:val="16"/>
    </w:rPr>
  </w:style>
  <w:style w:type="paragraph" w:styleId="1104" w:customStyle="1">
    <w:name w:val="样式 样式 首行缩进:  0.74 厘米 行距: 1.5 倍行距 + 段后: 0.5 行"/>
    <w:basedOn w:val="874"/>
    <w:uiPriority w:val="0"/>
    <w:qFormat/>
    <w:pPr>
      <w:ind w:firstLine="420"/>
      <w:spacing w:line="360" w:lineRule="auto"/>
    </w:pPr>
    <w:rPr>
      <w:rFonts w:ascii="楷体_GB2312" w:eastAsia="楷体_GB2312"/>
      <w:bCs/>
      <w:sz w:val="24"/>
      <w:szCs w:val="20"/>
    </w:rPr>
  </w:style>
  <w:style w:type="paragraph" w:styleId="1105" w:customStyle="1">
    <w:name w:val="1"/>
    <w:basedOn w:val="874"/>
    <w:next w:val="920"/>
    <w:uiPriority w:val="0"/>
    <w:qFormat/>
    <w:pPr>
      <w:spacing w:line="360" w:lineRule="auto"/>
    </w:pPr>
    <w:rPr>
      <w:rFonts w:eastAsia="仿宋_GB2312"/>
      <w:sz w:val="24"/>
    </w:rPr>
  </w:style>
  <w:style w:type="paragraph" w:styleId="1106" w:customStyle="1">
    <w:name w:val="xl106"/>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07" w:customStyle="1">
    <w:name w:val="Char Char Char Char Char Char Char Char Char"/>
    <w:basedOn w:val="874"/>
    <w:uiPriority w:val="0"/>
    <w:qFormat/>
    <w:pPr>
      <w:ind w:left="360" w:hanging="360"/>
      <w:tabs>
        <w:tab w:val="left" w:pos="360" w:leader="none"/>
      </w:tabs>
    </w:pPr>
    <w:rPr>
      <w:sz w:val="24"/>
    </w:rPr>
  </w:style>
  <w:style w:type="paragraph" w:styleId="1108" w:customStyle="1">
    <w:name w:val="xl83"/>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09" w:customStyle="1">
    <w:name w:val="Char Char Char"/>
    <w:basedOn w:val="874"/>
    <w:uiPriority w:val="0"/>
    <w:qFormat/>
    <w:rPr>
      <w:rFonts w:ascii="Tahoma" w:hAnsi="Tahoma"/>
      <w:sz w:val="24"/>
      <w:szCs w:val="20"/>
    </w:rPr>
  </w:style>
  <w:style w:type="paragraph" w:styleId="1110" w:customStyle="1">
    <w:name w:val="xl113"/>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11" w:customStyle="1">
    <w:name w:val="xl32"/>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12" w:customStyle="1">
    <w:name w:val="xl77"/>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13" w:customStyle="1">
    <w:name w:val="xl66"/>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114" w:customStyle="1">
    <w:name w:val="font0"/>
    <w:basedOn w:val="874"/>
    <w:uiPriority w:val="0"/>
    <w:qFormat/>
    <w:pPr>
      <w:jc w:val="left"/>
      <w:spacing w:before="100" w:beforeAutospacing="1" w:after="100" w:afterAutospacing="1"/>
      <w:widowControl/>
    </w:pPr>
    <w:rPr>
      <w:rFonts w:ascii="宋体" w:hAnsi="宋体" w:cs="宋体"/>
      <w:sz w:val="24"/>
    </w:rPr>
  </w:style>
  <w:style w:type="paragraph" w:styleId="1115" w:customStyle="1">
    <w:name w:val="xl116"/>
    <w:basedOn w:val="87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16" w:customStyle="1">
    <w:name w:val="表格内容"/>
    <w:basedOn w:val="874"/>
    <w:uiPriority w:val="0"/>
    <w:qFormat/>
    <w:pPr>
      <w:jc w:val="center"/>
      <w:spacing w:before="60" w:line="300" w:lineRule="auto"/>
      <w:widowControl/>
    </w:pPr>
    <w:rPr>
      <w:szCs w:val="20"/>
    </w:rPr>
  </w:style>
  <w:style w:type="paragraph" w:styleId="1117" w:customStyle="1">
    <w:name w:val="xl58"/>
    <w:basedOn w:val="874"/>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11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19" w:customStyle="1">
    <w:name w:val="普通文字"/>
    <w:basedOn w:val="874"/>
    <w:next w:val="874"/>
    <w:uiPriority w:val="0"/>
    <w:qFormat/>
    <w:rPr>
      <w:rFonts w:ascii="宋体"/>
      <w:sz w:val="24"/>
      <w:szCs w:val="20"/>
    </w:rPr>
  </w:style>
  <w:style w:type="paragraph" w:styleId="1120" w:customStyle="1">
    <w:name w:val="正文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1121" w:customStyle="1">
    <w:name w:val="xl74"/>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22" w:customStyle="1">
    <w:name w:val="部分1"/>
    <w:basedOn w:val="874"/>
    <w:uiPriority w:val="0"/>
    <w:qFormat/>
    <w:pPr>
      <w:jc w:val="center"/>
      <w:keepNext/>
      <w:pageBreakBefore/>
      <w:spacing w:line="360" w:lineRule="auto"/>
      <w:tabs>
        <w:tab w:val="left" w:pos="360" w:leader="none"/>
      </w:tabs>
      <w:outlineLvl w:val="0"/>
    </w:pPr>
    <w:rPr>
      <w:rFonts w:eastAsia="黑体"/>
      <w:b/>
      <w:sz w:val="36"/>
      <w:szCs w:val="20"/>
    </w:rPr>
  </w:style>
  <w:style w:type="paragraph" w:styleId="1123" w:customStyle="1">
    <w:name w:val="表格标题"/>
    <w:basedOn w:val="874"/>
    <w:uiPriority w:val="0"/>
    <w:qFormat/>
    <w:pPr>
      <w:jc w:val="center"/>
      <w:spacing w:before="120" w:line="400" w:lineRule="exact"/>
    </w:pPr>
    <w:rPr>
      <w:rFonts w:eastAsia="文鼎CS中宋"/>
      <w:spacing w:val="8"/>
      <w:sz w:val="24"/>
      <w:szCs w:val="20"/>
    </w:rPr>
  </w:style>
  <w:style w:type="paragraph" w:styleId="1124"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125" w:customStyle="1">
    <w:name w:val="正文表标题"/>
    <w:next w:val="1084"/>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26" w:customStyle="1">
    <w:name w:val="xl69"/>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27" w:customStyle="1">
    <w:name w:val="a"/>
    <w:basedOn w:val="874"/>
    <w:uiPriority w:val="0"/>
    <w:qFormat/>
    <w:pPr>
      <w:spacing w:before="100" w:beforeAutospacing="1" w:after="100" w:afterAutospacing="1"/>
      <w:widowControl/>
    </w:pPr>
    <w:rPr>
      <w:rFonts w:ascii="宋体" w:hAnsi="宋体" w:cs="宋体"/>
      <w:sz w:val="24"/>
    </w:rPr>
  </w:style>
  <w:style w:type="paragraph" w:styleId="1128" w:customStyle="1">
    <w:name w:val="xl47"/>
    <w:basedOn w:val="8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29" w:customStyle="1">
    <w:name w:val="xl50"/>
    <w:basedOn w:val="8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130" w:customStyle="1">
    <w:name w:val="正文--表格内正文"/>
    <w:basedOn w:val="874"/>
    <w:uiPriority w:val="0"/>
    <w:qFormat/>
    <w:pPr>
      <w:jc w:val="center"/>
      <w:spacing w:line="0" w:lineRule="atLeast"/>
    </w:pPr>
    <w:rPr>
      <w:rFonts w:ascii="宋体" w:hAnsi="宋体"/>
      <w:color w:val="000000"/>
      <w:sz w:val="24"/>
    </w:rPr>
  </w:style>
  <w:style w:type="paragraph" w:styleId="1131" w:customStyle="1">
    <w:name w:val="Char Char Char Char Char Char Char Char Char Char Char Char Char Char"/>
    <w:basedOn w:val="874"/>
    <w:uiPriority w:val="0"/>
    <w:qFormat/>
    <w:rPr>
      <w:rFonts w:ascii="Tahoma" w:hAnsi="Tahoma"/>
      <w:sz w:val="24"/>
      <w:szCs w:val="20"/>
    </w:rPr>
  </w:style>
  <w:style w:type="paragraph" w:styleId="1132" w:customStyle="1">
    <w:name w:val="Table Text"/>
    <w:basedOn w:val="874"/>
    <w:uiPriority w:val="0"/>
    <w:qFormat/>
    <w:pPr>
      <w:spacing w:before="80" w:after="80"/>
      <w:widowControl/>
      <w:tabs>
        <w:tab w:val="decimal" w:pos="0" w:leader="none"/>
      </w:tabs>
    </w:pPr>
    <w:rPr>
      <w:rFonts w:ascii="Arial" w:hAnsi="Arial"/>
      <w:color w:val="000000"/>
      <w:sz w:val="18"/>
      <w:szCs w:val="20"/>
    </w:rPr>
  </w:style>
  <w:style w:type="paragraph" w:styleId="1133" w:customStyle="1">
    <w:name w:val="xl115"/>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134" w:customStyle="1">
    <w:name w:val="xl40"/>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35" w:customStyle="1">
    <w:name w:val="默认段落字体 Para Char Char Char Char Char Char Char Char Char1 Char Char Char Char Char Char Char"/>
    <w:basedOn w:val="892"/>
    <w:uiPriority w:val="0"/>
    <w:qFormat/>
    <w:rPr>
      <w:szCs w:val="20"/>
    </w:rPr>
  </w:style>
  <w:style w:type="paragraph" w:styleId="1136" w:customStyle="1">
    <w:name w:val="标题 4宋体"/>
    <w:basedOn w:val="878"/>
    <w:uiPriority w:val="0"/>
    <w:qFormat/>
    <w:pPr>
      <w:ind w:left="0"/>
      <w:jc w:val="left"/>
      <w:keepNext/>
      <w:spacing w:before="0" w:line="360" w:lineRule="auto"/>
    </w:pPr>
    <w:rPr>
      <w:color w:val="000000"/>
      <w:szCs w:val="20"/>
    </w:rPr>
  </w:style>
  <w:style w:type="paragraph" w:styleId="1137" w:customStyle="1">
    <w:name w:val="xl101"/>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38" w:customStyle="1">
    <w:name w:val="content_lineheight"/>
    <w:basedOn w:val="874"/>
    <w:uiPriority w:val="0"/>
    <w:qFormat/>
    <w:pPr>
      <w:jc w:val="left"/>
      <w:spacing w:before="100" w:beforeAutospacing="1" w:after="100" w:afterAutospacing="1"/>
      <w:widowControl/>
    </w:pPr>
    <w:rPr>
      <w:rFonts w:ascii="宋体" w:hAnsi="宋体"/>
      <w:sz w:val="24"/>
    </w:rPr>
  </w:style>
  <w:style w:type="paragraph" w:styleId="1139"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1140" w:customStyle="1">
    <w:name w:val="xl90"/>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41" w:customStyle="1">
    <w:name w:val="样式"/>
    <w:basedOn w:val="874"/>
    <w:uiPriority w:val="0"/>
    <w:qFormat/>
    <w:pPr>
      <w:spacing w:before="120" w:after="120" w:line="360" w:lineRule="auto"/>
    </w:pPr>
    <w:rPr>
      <w:rFonts w:ascii="宋体"/>
      <w:sz w:val="24"/>
      <w:szCs w:val="20"/>
    </w:rPr>
  </w:style>
  <w:style w:type="paragraph" w:styleId="1142" w:customStyle="1">
    <w:name w:val="flNote"/>
    <w:basedOn w:val="874"/>
    <w:uiPriority w:val="0"/>
    <w:qFormat/>
    <w:pPr>
      <w:jc w:val="center"/>
      <w:spacing w:before="567" w:line="360" w:lineRule="atLeast"/>
    </w:pPr>
    <w:rPr>
      <w:rFonts w:eastAsia="黑体"/>
      <w:b/>
      <w:sz w:val="24"/>
      <w:szCs w:val="20"/>
    </w:rPr>
  </w:style>
  <w:style w:type="paragraph" w:styleId="1143" w:customStyle="1">
    <w:name w:val="font10"/>
    <w:basedOn w:val="874"/>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144" w:customStyle="1">
    <w:name w:val="Char Char1 Char Char Char Char"/>
    <w:basedOn w:val="892"/>
    <w:uiPriority w:val="0"/>
    <w:qFormat/>
    <w:pPr>
      <w:ind w:left="357"/>
      <w:jc w:val="left"/>
      <w:spacing w:line="436" w:lineRule="exact"/>
      <w:outlineLvl w:val="3"/>
    </w:pPr>
    <w:rPr>
      <w:rFonts w:ascii="Tahoma" w:hAnsi="Tahoma"/>
      <w:b/>
      <w:sz w:val="24"/>
    </w:rPr>
  </w:style>
  <w:style w:type="paragraph" w:styleId="1145" w:customStyle="1">
    <w:name w:val="标题2，章节第二层"/>
    <w:basedOn w:val="874"/>
    <w:next w:val="1043"/>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146" w:customStyle="1">
    <w:name w:val="Char Char Char Char Char"/>
    <w:basedOn w:val="874"/>
    <w:uiPriority w:val="0"/>
    <w:qFormat/>
    <w:rPr>
      <w:rFonts w:ascii="Tahoma" w:hAnsi="Tahoma"/>
      <w:sz w:val="24"/>
      <w:szCs w:val="20"/>
    </w:rPr>
  </w:style>
  <w:style w:type="paragraph" w:styleId="1147" w:customStyle="1">
    <w:name w:val="xl36"/>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148" w:customStyle="1">
    <w:name w:val="标题3，章节第三层"/>
    <w:basedOn w:val="874"/>
    <w:next w:val="1043"/>
    <w:uiPriority w:val="0"/>
    <w:qFormat/>
    <w:pPr>
      <w:spacing w:before="78" w:line="300" w:lineRule="auto"/>
      <w:outlineLvl w:val="2"/>
    </w:pPr>
    <w:rPr>
      <w:rFonts w:ascii="Arial" w:hAnsi="Arial" w:eastAsia="华文细黑"/>
      <w:sz w:val="30"/>
    </w:rPr>
  </w:style>
  <w:style w:type="paragraph" w:styleId="1149" w:customStyle="1">
    <w:name w:val="xl38"/>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150" w:customStyle="1">
    <w:name w:val="font13"/>
    <w:basedOn w:val="874"/>
    <w:uiPriority w:val="0"/>
    <w:qFormat/>
    <w:pPr>
      <w:jc w:val="left"/>
      <w:spacing w:before="100" w:beforeAutospacing="1" w:after="100" w:afterAutospacing="1"/>
      <w:widowControl/>
    </w:pPr>
    <w:rPr>
      <w:i/>
      <w:iCs/>
      <w:sz w:val="36"/>
      <w:szCs w:val="36"/>
    </w:rPr>
  </w:style>
  <w:style w:type="paragraph" w:styleId="1151" w:customStyle="1">
    <w:name w:val="标题 5（有编号）（绿盟科技）"/>
    <w:basedOn w:val="874"/>
    <w:next w:val="1076"/>
    <w:uiPriority w:val="0"/>
    <w:qFormat/>
    <w:pPr>
      <w:jc w:val="left"/>
      <w:keepLines/>
      <w:keepNext/>
      <w:spacing w:before="280" w:after="156" w:line="377" w:lineRule="auto"/>
      <w:outlineLvl w:val="4"/>
    </w:pPr>
    <w:rPr>
      <w:rFonts w:ascii="Arial" w:hAnsi="Arial" w:eastAsia="黑体"/>
      <w:b/>
      <w:sz w:val="24"/>
      <w:szCs w:val="28"/>
    </w:rPr>
  </w:style>
  <w:style w:type="paragraph" w:styleId="1152" w:customStyle="1">
    <w:name w:val="xl46"/>
    <w:basedOn w:val="874"/>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153" w:customStyle="1">
    <w:name w:val="xl99"/>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154" w:customStyle="1">
    <w:name w:val="font6"/>
    <w:basedOn w:val="874"/>
    <w:uiPriority w:val="0"/>
    <w:qFormat/>
    <w:pPr>
      <w:jc w:val="left"/>
      <w:spacing w:before="100" w:beforeAutospacing="1" w:after="100" w:afterAutospacing="1"/>
      <w:widowControl/>
    </w:pPr>
    <w:rPr>
      <w:rFonts w:hint="eastAsia" w:ascii="宋体" w:hAnsi="宋体"/>
      <w:b/>
      <w:bCs/>
      <w:sz w:val="20"/>
      <w:szCs w:val="20"/>
    </w:rPr>
  </w:style>
  <w:style w:type="paragraph" w:styleId="1155" w:customStyle="1">
    <w:name w:val="xl26"/>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56" w:customStyle="1">
    <w:name w:val="xl31"/>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rPr>
  </w:style>
  <w:style w:type="paragraph" w:styleId="1157" w:customStyle="1">
    <w:name w:val="纯文本1"/>
    <w:basedOn w:val="874"/>
    <w:uiPriority w:val="0"/>
    <w:qFormat/>
    <w:rPr>
      <w:rFonts w:hint="eastAsia" w:ascii="宋体" w:hAnsi="Courier New" w:eastAsia="楷体_GB2312"/>
      <w:sz w:val="28"/>
      <w:szCs w:val="20"/>
    </w:rPr>
  </w:style>
  <w:style w:type="paragraph" w:styleId="1158" w:customStyle="1">
    <w:name w:val="Char Char Char Char Char Char Char Char Char Char Char Char Char Char Char Char Char Char Char Char Char"/>
    <w:basedOn w:val="874"/>
    <w:uiPriority w:val="0"/>
    <w:qFormat/>
    <w:rPr>
      <w:rFonts w:ascii="Tahoma" w:hAnsi="Tahoma"/>
      <w:sz w:val="24"/>
      <w:szCs w:val="20"/>
    </w:rPr>
  </w:style>
  <w:style w:type="paragraph" w:styleId="1159" w:customStyle="1">
    <w:name w:val="xl41"/>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160" w:customStyle="1">
    <w:name w:val="_Style 54"/>
    <w:uiPriority w:val="0"/>
    <w:qFormat/>
    <w:pPr>
      <w:jc w:val="both"/>
      <w:widowControl w:val="off"/>
    </w:pPr>
    <w:rPr>
      <w:rFonts w:ascii="Times New Roman" w:hAnsi="Times New Roman" w:eastAsia="宋体" w:cs="Times New Roman"/>
      <w:sz w:val="21"/>
      <w:szCs w:val="24"/>
      <w:lang w:val="en-US" w:eastAsia="zh-CN" w:bidi="ar-SA"/>
    </w:rPr>
  </w:style>
  <w:style w:type="paragraph" w:styleId="1161" w:customStyle="1">
    <w:name w:val="Char Char Char Char Char Char Char Char Char Char Char"/>
    <w:basedOn w:val="874"/>
    <w:uiPriority w:val="0"/>
    <w:qFormat/>
    <w:rPr>
      <w:rFonts w:ascii="Tahoma" w:hAnsi="Tahoma"/>
      <w:sz w:val="24"/>
      <w:szCs w:val="20"/>
    </w:rPr>
  </w:style>
  <w:style w:type="paragraph" w:styleId="1162" w:customStyle="1">
    <w:name w:val="xl87"/>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63" w:customStyle="1">
    <w:name w:val="正文文本 21"/>
    <w:basedOn w:val="874"/>
    <w:uiPriority w:val="0"/>
    <w:qFormat/>
    <w:pPr>
      <w:ind w:left="720" w:hanging="720"/>
      <w:widowControl/>
    </w:pPr>
    <w:rPr>
      <w:sz w:val="24"/>
      <w:szCs w:val="20"/>
      <w:lang w:val="en-GB"/>
    </w:rPr>
  </w:style>
  <w:style w:type="paragraph" w:styleId="1164" w:customStyle="1">
    <w:name w:val="a0"/>
    <w:basedOn w:val="874"/>
    <w:uiPriority w:val="0"/>
    <w:qFormat/>
    <w:pPr>
      <w:spacing w:before="100" w:beforeAutospacing="1" w:after="100" w:afterAutospacing="1"/>
      <w:widowControl/>
    </w:pPr>
    <w:rPr>
      <w:rFonts w:ascii="宋体" w:hAnsi="宋体" w:cs="宋体"/>
      <w:sz w:val="24"/>
    </w:rPr>
  </w:style>
  <w:style w:type="paragraph" w:styleId="1165" w:customStyle="1">
    <w:name w:val="xl105"/>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66" w:customStyle="1">
    <w:name w:val="样式3"/>
    <w:basedOn w:val="874"/>
    <w:next w:val="874"/>
    <w:uiPriority w:val="0"/>
    <w:qFormat/>
    <w:pPr>
      <w:spacing w:line="360" w:lineRule="auto"/>
    </w:pPr>
    <w:rPr>
      <w:szCs w:val="20"/>
    </w:rPr>
  </w:style>
  <w:style w:type="paragraph" w:styleId="1167" w:customStyle="1">
    <w:name w:val="正文2"/>
    <w:basedOn w:val="874"/>
    <w:uiPriority w:val="0"/>
    <w:qFormat/>
    <w:pPr>
      <w:ind w:firstLine="510"/>
      <w:spacing w:before="156" w:line="360" w:lineRule="auto"/>
    </w:pPr>
    <w:rPr>
      <w:sz w:val="24"/>
      <w:szCs w:val="20"/>
    </w:rPr>
  </w:style>
  <w:style w:type="paragraph" w:styleId="1168" w:customStyle="1">
    <w:name w:val="样式 样式 首行缩进:  2 字符 + 行距: 1.5 倍行距"/>
    <w:basedOn w:val="874"/>
    <w:uiPriority w:val="0"/>
    <w:qFormat/>
    <w:pPr>
      <w:ind w:firstLine="470"/>
      <w:spacing w:line="360" w:lineRule="auto"/>
    </w:pPr>
    <w:rPr>
      <w:sz w:val="24"/>
      <w:szCs w:val="20"/>
    </w:rPr>
  </w:style>
  <w:style w:type="paragraph" w:styleId="1169" w:customStyle="1">
    <w:name w:val="标题4，章节第四层"/>
    <w:basedOn w:val="874"/>
    <w:next w:val="874"/>
    <w:uiPriority w:val="0"/>
    <w:qFormat/>
    <w:pPr>
      <w:spacing w:line="360" w:lineRule="auto"/>
      <w:tabs>
        <w:tab w:val="left" w:pos="0" w:leader="none"/>
      </w:tabs>
      <w:outlineLvl w:val="3"/>
    </w:pPr>
    <w:rPr>
      <w:rFonts w:ascii="宋体" w:hAnsi="宋体"/>
      <w:b/>
      <w:sz w:val="24"/>
    </w:rPr>
  </w:style>
  <w:style w:type="paragraph" w:styleId="1170" w:customStyle="1">
    <w:name w:val="列出段落1"/>
    <w:basedOn w:val="874"/>
    <w:uiPriority w:val="0"/>
    <w:qFormat/>
    <w:pPr>
      <w:contextualSpacing/>
      <w:ind w:left="720"/>
      <w:jc w:val="left"/>
      <w:widowControl/>
    </w:pPr>
    <w:rPr>
      <w:rFonts w:ascii="Arial" w:hAnsi="Arial" w:eastAsia="黑体"/>
      <w:sz w:val="24"/>
      <w:lang w:eastAsia="en-US"/>
    </w:rPr>
  </w:style>
  <w:style w:type="paragraph" w:styleId="1171" w:customStyle="1">
    <w:name w:val="xl70"/>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72" w:customStyle="1">
    <w:name w:val="Char1 Char Char Char Char Char Char"/>
    <w:basedOn w:val="874"/>
    <w:next w:val="874"/>
    <w:uiPriority w:val="0"/>
    <w:qFormat/>
    <w:pPr>
      <w:keepLines/>
      <w:keepNext/>
      <w:pageBreakBefore/>
    </w:pPr>
    <w:rPr>
      <w:rFonts w:ascii="Tahoma" w:hAnsi="Tahoma"/>
      <w:sz w:val="24"/>
      <w:szCs w:val="20"/>
    </w:rPr>
  </w:style>
  <w:style w:type="paragraph" w:styleId="1173" w:customStyle="1">
    <w:name w:val="章标题"/>
    <w:next w:val="1084"/>
    <w:uiPriority w:val="0"/>
    <w:qFormat/>
    <w:pPr>
      <w:jc w:val="both"/>
      <w:outlineLvl w:val="1"/>
    </w:pPr>
    <w:rPr>
      <w:rFonts w:ascii="Times New Roman" w:hAnsi="Times New Roman" w:eastAsia="黑体" w:cs="Times New Roman"/>
      <w:sz w:val="21"/>
      <w:lang w:val="en-US" w:eastAsia="zh-CN" w:bidi="ar-SA"/>
    </w:rPr>
  </w:style>
  <w:style w:type="paragraph" w:styleId="1174" w:customStyle="1">
    <w:name w:val="大标题"/>
    <w:basedOn w:val="874"/>
    <w:next w:val="874"/>
    <w:uiPriority w:val="0"/>
    <w:qFormat/>
    <w:pPr>
      <w:ind w:hanging="420"/>
      <w:pageBreakBefore/>
      <w:spacing w:line="360" w:lineRule="auto"/>
      <w:tabs>
        <w:tab w:val="left" w:pos="420" w:leader="none"/>
      </w:tabs>
      <w:outlineLvl w:val="0"/>
    </w:pPr>
    <w:rPr>
      <w:b/>
      <w:iCs/>
      <w:sz w:val="44"/>
    </w:rPr>
  </w:style>
  <w:style w:type="paragraph" w:styleId="1175" w:customStyle="1">
    <w:name w:val="Char Char1 Char Char Char Char Char Char"/>
    <w:basedOn w:val="874"/>
    <w:uiPriority w:val="0"/>
    <w:qFormat/>
    <w:rPr>
      <w:rFonts w:ascii="Tahoma" w:hAnsi="Tahoma"/>
      <w:sz w:val="24"/>
    </w:rPr>
  </w:style>
  <w:style w:type="paragraph" w:styleId="1176" w:customStyle="1">
    <w:name w:val="插入对象"/>
    <w:basedOn w:val="874"/>
    <w:uiPriority w:val="0"/>
    <w:qFormat/>
    <w:pPr>
      <w:ind w:firstLine="425"/>
      <w:jc w:val="center"/>
      <w:keepLines/>
      <w:spacing w:line="354" w:lineRule="auto"/>
    </w:pPr>
    <w:rPr>
      <w:sz w:val="24"/>
      <w:szCs w:val="20"/>
    </w:rPr>
  </w:style>
  <w:style w:type="paragraph" w:styleId="1177" w:customStyle="1">
    <w:name w:val="xl111"/>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78" w:customStyle="1">
    <w:name w:val="xl114"/>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9" w:customStyle="1">
    <w:name w:val="xl86"/>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80" w:customStyle="1">
    <w:name w:val="xl63"/>
    <w:basedOn w:val="874"/>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181" w:customStyle="1">
    <w:name w:val="p0 paragraphindent"/>
    <w:basedOn w:val="874"/>
    <w:uiPriority w:val="0"/>
    <w:qFormat/>
    <w:pPr>
      <w:jc w:val="left"/>
      <w:spacing w:before="100" w:beforeAutospacing="1" w:after="100" w:afterAutospacing="1"/>
      <w:widowControl/>
    </w:pPr>
    <w:rPr>
      <w:rFonts w:ascii="宋体" w:hAnsi="宋体" w:cs="宋体"/>
      <w:sz w:val="24"/>
    </w:rPr>
  </w:style>
  <w:style w:type="paragraph" w:styleId="1182" w:customStyle="1">
    <w:name w:val="默认段落字体 Para Char Char Char Char Char Char Char"/>
    <w:basedOn w:val="874"/>
    <w:uiPriority w:val="0"/>
    <w:qFormat/>
    <w:rPr>
      <w:rFonts w:ascii="Tahoma" w:hAnsi="Tahoma"/>
      <w:sz w:val="24"/>
      <w:szCs w:val="20"/>
    </w:rPr>
  </w:style>
  <w:style w:type="paragraph" w:styleId="1183" w:customStyle="1">
    <w:name w:val="xl37"/>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184" w:customStyle="1">
    <w:name w:val="Char Char1 Char1"/>
    <w:basedOn w:val="874"/>
    <w:uiPriority w:val="0"/>
    <w:qFormat/>
    <w:pPr>
      <w:jc w:val="left"/>
      <w:spacing w:after="160" w:line="240" w:lineRule="exact"/>
      <w:widowControl/>
    </w:pPr>
    <w:rPr>
      <w:rFonts w:ascii="Verdana" w:hAnsi="Verdana"/>
      <w:sz w:val="20"/>
      <w:szCs w:val="20"/>
      <w:lang w:eastAsia="en-US"/>
    </w:rPr>
  </w:style>
  <w:style w:type="paragraph" w:styleId="1185" w:customStyle="1">
    <w:name w:val="Test2"/>
    <w:basedOn w:val="876"/>
    <w:uiPriority w:val="0"/>
    <w:qFormat/>
    <w:pPr>
      <w:spacing w:line="480" w:lineRule="exact"/>
      <w:widowControl/>
    </w:pPr>
    <w:rPr>
      <w:rFonts w:ascii="黑体" w:eastAsia="黑体"/>
      <w:bCs/>
      <w:sz w:val="24"/>
      <w:szCs w:val="24"/>
    </w:rPr>
  </w:style>
  <w:style w:type="paragraph" w:styleId="1186" w:customStyle="1">
    <w:name w:val="xl42"/>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187" w:customStyle="1">
    <w:name w:val="默认段落字体 Para Char Char Char Char Char Char Char Char Char Char"/>
    <w:basedOn w:val="874"/>
    <w:uiPriority w:val="0"/>
    <w:qFormat/>
    <w:rPr>
      <w:rFonts w:ascii="Tahoma" w:hAnsi="Tahoma"/>
      <w:sz w:val="24"/>
      <w:szCs w:val="20"/>
    </w:rPr>
  </w:style>
  <w:style w:type="paragraph" w:styleId="1188" w:customStyle="1">
    <w:name w:val="xl104"/>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189" w:customStyle="1">
    <w:name w:val="项目符号：一级"/>
    <w:basedOn w:val="1043"/>
    <w:next w:val="1043"/>
    <w:uiPriority w:val="0"/>
    <w:qFormat/>
    <w:pPr>
      <w:ind w:right="-134"/>
    </w:pPr>
    <w:rPr>
      <w:bCs w:val="0"/>
    </w:rPr>
  </w:style>
  <w:style w:type="paragraph" w:styleId="1190" w:customStyle="1">
    <w:name w:val="xl100"/>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91" w:customStyle="1">
    <w:name w:val="正文 居中"/>
    <w:basedOn w:val="874"/>
    <w:uiPriority w:val="0"/>
    <w:qFormat/>
    <w:pPr>
      <w:jc w:val="center"/>
      <w:spacing w:line="360" w:lineRule="auto"/>
    </w:pPr>
    <w:rPr>
      <w:sz w:val="24"/>
      <w:szCs w:val="20"/>
    </w:rPr>
  </w:style>
  <w:style w:type="paragraph" w:styleId="1192" w:customStyle="1">
    <w:name w:val="xl81"/>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93" w:customStyle="1">
    <w:name w:val="xl49"/>
    <w:basedOn w:val="874"/>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194" w:customStyle="1">
    <w:name w:val="表格内文字"/>
    <w:basedOn w:val="874"/>
    <w:uiPriority w:val="0"/>
    <w:qFormat/>
    <w:pPr>
      <w:spacing w:line="300" w:lineRule="atLeast"/>
    </w:pPr>
    <w:rPr>
      <w:sz w:val="18"/>
    </w:rPr>
  </w:style>
  <w:style w:type="paragraph" w:styleId="1195" w:customStyle="1">
    <w:name w:val="正文 首行缩进:  2 字符 Char"/>
    <w:basedOn w:val="874"/>
    <w:uiPriority w:val="0"/>
    <w:qFormat/>
    <w:pPr>
      <w:ind w:firstLine="480"/>
      <w:spacing w:line="360" w:lineRule="auto"/>
    </w:pPr>
    <w:rPr>
      <w:rFonts w:cs="宋体"/>
      <w:sz w:val="24"/>
      <w:szCs w:val="20"/>
    </w:rPr>
  </w:style>
  <w:style w:type="paragraph" w:styleId="1196" w:customStyle="1">
    <w:name w:val="xl82"/>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97" w:customStyle="1">
    <w:name w:val="标题5，章节第五层"/>
    <w:basedOn w:val="874"/>
    <w:next w:val="874"/>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98" w:customStyle="1">
    <w:name w:val="二级条标题"/>
    <w:basedOn w:val="874"/>
    <w:next w:val="1084"/>
    <w:uiPriority w:val="0"/>
    <w:qFormat/>
    <w:pPr>
      <w:ind w:hanging="420"/>
      <w:widowControl/>
      <w:tabs>
        <w:tab w:val="left" w:pos="2240" w:leader="none"/>
      </w:tabs>
      <w:outlineLvl w:val="3"/>
    </w:pPr>
    <w:rPr>
      <w:rFonts w:eastAsia="黑体"/>
      <w:szCs w:val="20"/>
    </w:rPr>
  </w:style>
  <w:style w:type="paragraph" w:styleId="1199" w:customStyle="1">
    <w:name w:val="xl98"/>
    <w:basedOn w:val="87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rPr>
  </w:style>
  <w:style w:type="paragraph" w:styleId="1200" w:customStyle="1">
    <w:name w:val="xl27"/>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01" w:customStyle="1">
    <w:name w:val="文档正文"/>
    <w:basedOn w:val="874"/>
    <w:uiPriority w:val="0"/>
    <w:qFormat/>
    <w:pPr>
      <w:spacing w:line="360" w:lineRule="auto"/>
    </w:pPr>
    <w:rPr>
      <w:rFonts w:ascii="宋体" w:hAnsi="宋体"/>
      <w:b/>
      <w:bCs/>
    </w:rPr>
  </w:style>
  <w:style w:type="paragraph" w:styleId="1202" w:customStyle="1">
    <w:name w:val="xl112"/>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03" w:customStyle="1">
    <w:name w:val="xl48"/>
    <w:basedOn w:val="87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204" w:customStyle="1">
    <w:name w:val="xl107"/>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205" w:customStyle="1">
    <w:name w:val="flType"/>
    <w:basedOn w:val="1206"/>
    <w:uiPriority w:val="0"/>
    <w:qFormat/>
    <w:pPr>
      <w:spacing w:after="284"/>
    </w:pPr>
    <w:rPr>
      <w:rFonts w:eastAsia="宋体"/>
      <w:b w:val="0"/>
    </w:rPr>
  </w:style>
  <w:style w:type="paragraph" w:styleId="1206" w:customStyle="1">
    <w:name w:val="flName"/>
    <w:basedOn w:val="1142"/>
    <w:uiPriority w:val="0"/>
    <w:qFormat/>
    <w:pPr>
      <w:spacing w:before="0" w:line="113" w:lineRule="atLeast"/>
    </w:pPr>
  </w:style>
  <w:style w:type="paragraph" w:styleId="1207" w:customStyle="1">
    <w:name w:val="xl108"/>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08" w:customStyle="1">
    <w:name w:val="Char Char1"/>
    <w:basedOn w:val="874"/>
    <w:uiPriority w:val="0"/>
    <w:qFormat/>
    <w:rPr>
      <w:rFonts w:ascii="Tahoma" w:hAnsi="Tahoma"/>
      <w:sz w:val="24"/>
      <w:szCs w:val="20"/>
    </w:rPr>
  </w:style>
  <w:style w:type="paragraph" w:styleId="1209" w:customStyle="1">
    <w:name w:val="font11"/>
    <w:basedOn w:val="874"/>
    <w:uiPriority w:val="0"/>
    <w:qFormat/>
    <w:pPr>
      <w:jc w:val="left"/>
      <w:spacing w:before="100" w:beforeAutospacing="1" w:after="100" w:afterAutospacing="1"/>
      <w:widowControl/>
    </w:pPr>
    <w:rPr>
      <w:b/>
      <w:bCs/>
      <w:sz w:val="18"/>
      <w:szCs w:val="18"/>
    </w:rPr>
  </w:style>
  <w:style w:type="paragraph" w:styleId="1210" w:customStyle="1">
    <w:name w:val="List Paragraph1"/>
    <w:basedOn w:val="874"/>
    <w:uiPriority w:val="0"/>
    <w:qFormat/>
    <w:pPr>
      <w:ind w:firstLine="420"/>
    </w:pPr>
    <w:rPr>
      <w:rFonts w:ascii="Calibri" w:hAnsi="Calibri" w:cs="黑体"/>
      <w:szCs w:val="22"/>
    </w:rPr>
  </w:style>
  <w:style w:type="paragraph" w:styleId="1211" w:customStyle="1">
    <w:name w:val="xl109"/>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12" w:customStyle="1">
    <w:name w:val="tableau"/>
    <w:basedOn w:val="874"/>
    <w:uiPriority w:val="0"/>
    <w:qFormat/>
    <w:pPr>
      <w:jc w:val="center"/>
      <w:spacing w:before="20" w:after="20"/>
      <w:widowControl/>
    </w:pPr>
    <w:rPr>
      <w:rFonts w:ascii="Arial" w:hAnsi="Arial"/>
      <w:sz w:val="16"/>
      <w:szCs w:val="20"/>
      <w:lang w:val="en-GB" w:eastAsia="en-US"/>
    </w:rPr>
  </w:style>
  <w:style w:type="paragraph" w:styleId="1213" w:customStyle="1">
    <w:name w:val="xl84"/>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14" w:customStyle="1">
    <w:name w:val="xl29"/>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15" w:customStyle="1">
    <w:name w:val="Char Char Char Char Char Char Char Char"/>
    <w:basedOn w:val="874"/>
    <w:uiPriority w:val="0"/>
    <w:qFormat/>
    <w:rPr>
      <w:szCs w:val="20"/>
    </w:rPr>
  </w:style>
  <w:style w:type="paragraph" w:styleId="1216" w:customStyle="1">
    <w:name w:val="xl24"/>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217" w:customStyle="1">
    <w:name w:val="样式 首行缩进:  2 字符"/>
    <w:basedOn w:val="874"/>
    <w:uiPriority w:val="99"/>
    <w:qFormat/>
    <w:pPr>
      <w:ind w:firstLine="420"/>
      <w:spacing w:line="440" w:lineRule="exact"/>
    </w:pPr>
    <w:rPr>
      <w:rFonts w:ascii="宋体" w:cs="宋体"/>
      <w:sz w:val="24"/>
      <w:szCs w:val="20"/>
    </w:rPr>
  </w:style>
  <w:style w:type="paragraph" w:styleId="1218" w:customStyle="1">
    <w:name w:val="样式 标题 2第一章 标题 2Heading 2 HiddenHeading 2 CCBSheading 2H2h2..."/>
    <w:basedOn w:val="876"/>
    <w:uiPriority w:val="0"/>
    <w:qFormat/>
    <w:pPr>
      <w:ind w:left="360" w:hanging="360"/>
      <w:keepLines w:val="0"/>
      <w:spacing w:line="240" w:lineRule="auto"/>
      <w:tabs>
        <w:tab w:val="left" w:pos="360" w:leader="none"/>
      </w:tabs>
    </w:pPr>
    <w:rPr>
      <w:rFonts w:ascii="黑体" w:hAnsi="Times New Roman" w:eastAsia="黑体" w:cs="宋体"/>
      <w:b w:val="0"/>
      <w:sz w:val="32"/>
    </w:rPr>
  </w:style>
  <w:style w:type="paragraph" w:styleId="1219" w:customStyle="1">
    <w:name w:val="xl96"/>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20" w:customStyle="1">
    <w:name w:val="font9"/>
    <w:basedOn w:val="874"/>
    <w:uiPriority w:val="0"/>
    <w:qFormat/>
    <w:pPr>
      <w:jc w:val="left"/>
      <w:spacing w:before="100" w:beforeAutospacing="1" w:after="100" w:afterAutospacing="1"/>
      <w:widowControl/>
    </w:pPr>
    <w:rPr>
      <w:b/>
      <w:bCs/>
      <w:sz w:val="20"/>
      <w:szCs w:val="20"/>
    </w:rPr>
  </w:style>
  <w:style w:type="paragraph" w:styleId="1221" w:customStyle="1">
    <w:name w:val="xl68"/>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22" w:customStyle="1">
    <w:name w:val="Item Step in Table"/>
    <w:uiPriority w:val="0"/>
    <w:qFormat/>
    <w:pPr>
      <w:ind w:left="432" w:hanging="432"/>
      <w:jc w:val="both"/>
      <w:spacing w:before="40" w:after="40"/>
      <w:tabs>
        <w:tab w:val="left" w:pos="397" w:leader="none"/>
      </w:tabs>
    </w:pPr>
    <w:rPr>
      <w:rFonts w:ascii="Arial" w:hAnsi="Arial" w:eastAsia="宋体" w:cs="Times New Roman"/>
      <w:sz w:val="18"/>
      <w:lang w:val="en-US" w:eastAsia="zh-CN" w:bidi="ar-SA"/>
    </w:rPr>
  </w:style>
  <w:style w:type="paragraph" w:styleId="1223" w:customStyle="1">
    <w:name w:val="xl85"/>
    <w:basedOn w:val="8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24" w:customStyle="1">
    <w:name w:val="插图"/>
    <w:basedOn w:val="874"/>
    <w:uiPriority w:val="0"/>
    <w:qFormat/>
    <w:pPr>
      <w:jc w:val="center"/>
      <w:tabs>
        <w:tab w:val="left" w:pos="1620" w:leader="none"/>
      </w:tabs>
    </w:pPr>
    <w:rPr>
      <w:bCs/>
      <w:color w:val="000000"/>
      <w:szCs w:val="22"/>
    </w:rPr>
  </w:style>
  <w:style w:type="paragraph" w:styleId="1225" w:customStyle="1">
    <w:name w:val="方案正文"/>
    <w:basedOn w:val="874"/>
    <w:uiPriority w:val="0"/>
    <w:qFormat/>
    <w:pPr>
      <w:ind w:firstLine="359"/>
      <w:jc w:val="left"/>
      <w:spacing w:before="156" w:line="360" w:lineRule="auto"/>
    </w:pPr>
    <w:rPr>
      <w:rFonts w:ascii="Arial" w:hAnsi="Arial" w:cs="宋体"/>
      <w:sz w:val="24"/>
      <w:szCs w:val="21"/>
    </w:rPr>
  </w:style>
  <w:style w:type="paragraph" w:styleId="1226" w:customStyle="1">
    <w:name w:val="xl117"/>
    <w:basedOn w:val="87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7" w:customStyle="1">
    <w:name w:val="马刚标题1"/>
    <w:basedOn w:val="875"/>
    <w:next w:val="874"/>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28" w:customStyle="1">
    <w:name w:val="丁华标题2"/>
    <w:basedOn w:val="876"/>
    <w:next w:val="1103"/>
    <w:uiPriority w:val="0"/>
    <w:qFormat/>
    <w:pPr>
      <w:ind w:left="567" w:hanging="567"/>
      <w:jc w:val="left"/>
      <w:spacing w:before="120" w:after="120"/>
      <w:tabs>
        <w:tab w:val="left" w:pos="567" w:leader="none"/>
      </w:tabs>
    </w:pPr>
    <w:rPr>
      <w:rFonts w:eastAsia="黑体"/>
      <w:bCs/>
      <w:color w:val="000000"/>
      <w:sz w:val="28"/>
    </w:rPr>
  </w:style>
  <w:style w:type="paragraph" w:styleId="1229" w:customStyle="1">
    <w:name w:val="xl30"/>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30" w:customStyle="1">
    <w:name w:val="xl93"/>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31" w:customStyle="1">
    <w:name w:val="font8"/>
    <w:basedOn w:val="874"/>
    <w:uiPriority w:val="0"/>
    <w:qFormat/>
    <w:pPr>
      <w:jc w:val="left"/>
      <w:spacing w:before="100" w:beforeAutospacing="1" w:after="100" w:afterAutospacing="1"/>
      <w:widowControl/>
    </w:pPr>
    <w:rPr>
      <w:rFonts w:hint="eastAsia" w:ascii="宋体" w:hAnsi="宋体"/>
      <w:b/>
      <w:bCs/>
      <w:i/>
      <w:iCs/>
      <w:sz w:val="20"/>
      <w:szCs w:val="20"/>
    </w:rPr>
  </w:style>
  <w:style w:type="paragraph" w:styleId="1232" w:customStyle="1">
    <w:name w:val="样式 加点正文 + 段前: 0.5 行 段后: 0.5 行1"/>
    <w:basedOn w:val="874"/>
    <w:uiPriority w:val="0"/>
    <w:qFormat/>
    <w:pPr>
      <w:ind w:left="1268" w:hanging="425"/>
      <w:spacing w:line="300" w:lineRule="auto"/>
      <w:tabs>
        <w:tab w:val="left" w:pos="1268" w:leader="none"/>
      </w:tabs>
    </w:pPr>
    <w:rPr>
      <w:sz w:val="24"/>
      <w:szCs w:val="20"/>
    </w:rPr>
  </w:style>
  <w:style w:type="paragraph" w:styleId="1233" w:customStyle="1">
    <w:name w:val="xl60"/>
    <w:basedOn w:val="87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34" w:customStyle="1">
    <w:name w:val="样式1"/>
    <w:basedOn w:val="874"/>
    <w:uiPriority w:val="0"/>
    <w:qFormat/>
    <w:pPr>
      <w:ind w:firstLine="480"/>
      <w:spacing w:line="300" w:lineRule="auto"/>
    </w:pPr>
    <w:rPr>
      <w:sz w:val="24"/>
    </w:rPr>
  </w:style>
  <w:style w:type="paragraph" w:styleId="1235" w:customStyle="1">
    <w:name w:val="xl118"/>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36" w:customStyle="1">
    <w:name w:val="xl76"/>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37" w:customStyle="1">
    <w:name w:val="项目符号，二级"/>
    <w:basedOn w:val="1043"/>
    <w:next w:val="1043"/>
    <w:uiPriority w:val="0"/>
    <w:qFormat/>
    <w:pPr>
      <w:ind w:left="1337" w:right="-27" w:firstLine="480"/>
      <w:tabs>
        <w:tab w:val="left" w:pos="1211" w:leader="none"/>
        <w:tab w:val="left" w:pos="1337" w:leader="none"/>
      </w:tabs>
    </w:pPr>
    <w:rPr>
      <w:bCs w:val="0"/>
      <w:color w:val="000000"/>
      <w:sz w:val="24"/>
      <w:szCs w:val="24"/>
    </w:rPr>
  </w:style>
  <w:style w:type="paragraph" w:styleId="1238" w:customStyle="1">
    <w:name w:val="xl89"/>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39" w:customStyle="1">
    <w:name w:val="样式 样式 标题 3H3sect1.2.3BOD 0Heading 3 - oldh3l3CTLevel 3 Head... +..."/>
    <w:basedOn w:val="874"/>
    <w:uiPriority w:val="0"/>
    <w:qFormat/>
    <w:pPr>
      <w:jc w:val="left"/>
      <w:keepLines/>
      <w:keepNext/>
      <w:outlineLvl w:val="2"/>
    </w:pPr>
    <w:rPr>
      <w:rFonts w:cs="宋体"/>
      <w:b/>
      <w:bCs/>
      <w:sz w:val="24"/>
      <w:szCs w:val="20"/>
    </w:rPr>
  </w:style>
  <w:style w:type="paragraph" w:styleId="1240" w:customStyle="1">
    <w:name w:val="xl75"/>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241" w:customStyle="1">
    <w:name w:val="xl35"/>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242" w:customStyle="1">
    <w:name w:val="7"/>
    <w:basedOn w:val="874"/>
    <w:next w:val="922"/>
    <w:uiPriority w:val="0"/>
    <w:qFormat/>
    <w:pPr>
      <w:jc w:val="left"/>
      <w:spacing w:before="100" w:beforeAutospacing="1" w:after="100" w:afterAutospacing="1"/>
      <w:widowControl/>
    </w:pPr>
    <w:rPr>
      <w:rFonts w:ascii="宋体" w:hAnsi="宋体"/>
      <w:sz w:val="24"/>
      <w:szCs w:val="20"/>
    </w:rPr>
  </w:style>
  <w:style w:type="paragraph" w:styleId="1243" w:customStyle="1">
    <w:name w:val="默认段落字体 Para Char"/>
    <w:basedOn w:val="874"/>
    <w:uiPriority w:val="0"/>
    <w:qFormat/>
    <w:pPr>
      <w:spacing w:line="360" w:lineRule="auto"/>
    </w:pPr>
    <w:rPr>
      <w:sz w:val="24"/>
    </w:rPr>
  </w:style>
  <w:style w:type="paragraph" w:styleId="1244" w:customStyle="1">
    <w:name w:val="xl64"/>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45" w:customStyle="1">
    <w:name w:val="文字"/>
    <w:basedOn w:val="874"/>
    <w:uiPriority w:val="0"/>
    <w:qFormat/>
    <w:pPr>
      <w:ind w:right="-210" w:firstLine="556"/>
      <w:spacing w:line="312" w:lineRule="auto"/>
      <w:tabs>
        <w:tab w:val="left" w:pos="8520" w:leader="none"/>
      </w:tabs>
    </w:pPr>
    <w:rPr>
      <w:rFonts w:ascii="宋体"/>
      <w:sz w:val="28"/>
      <w:szCs w:val="20"/>
    </w:rPr>
  </w:style>
  <w:style w:type="paragraph" w:styleId="1246" w:customStyle="1">
    <w:name w:val="小四 段落 宋体"/>
    <w:basedOn w:val="890"/>
    <w:uiPriority w:val="0"/>
    <w:qFormat/>
    <w:pPr>
      <w:ind w:left="113" w:right="113" w:firstLine="425"/>
      <w:jc w:val="left"/>
      <w:spacing w:line="360" w:lineRule="auto"/>
      <w:tabs>
        <w:tab w:val="clear" w:pos="2952" w:leader="none"/>
      </w:tabs>
    </w:pPr>
    <w:rPr>
      <w:sz w:val="24"/>
    </w:rPr>
  </w:style>
  <w:style w:type="paragraph" w:styleId="1247" w:customStyle="1">
    <w:name w:val="xl39"/>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248" w:customStyle="1">
    <w:name w:val="Char Char Char Char Char Char Char Char Char Char Char1 Char Char Char1"/>
    <w:basedOn w:val="874"/>
    <w:uiPriority w:val="0"/>
    <w:qFormat/>
    <w:pPr>
      <w:ind w:firstLine="200"/>
      <w:jc w:val="left"/>
    </w:pPr>
    <w:rPr>
      <w:rFonts w:ascii="Tahoma" w:hAnsi="Tahoma"/>
      <w:sz w:val="24"/>
    </w:rPr>
  </w:style>
  <w:style w:type="paragraph" w:styleId="1249" w:customStyle="1">
    <w:name w:val="xl55"/>
    <w:basedOn w:val="87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250" w:customStyle="1">
    <w:name w:val="retrait3"/>
    <w:basedOn w:val="874"/>
    <w:uiPriority w:val="0"/>
    <w:qFormat/>
    <w:pPr>
      <w:ind w:left="851"/>
      <w:jc w:val="left"/>
      <w:spacing w:before="20" w:after="20"/>
      <w:widowControl/>
    </w:pPr>
    <w:rPr>
      <w:rFonts w:ascii="Arial" w:hAnsi="Arial"/>
      <w:sz w:val="24"/>
      <w:szCs w:val="20"/>
      <w:lang w:val="en-GB"/>
    </w:rPr>
  </w:style>
  <w:style w:type="paragraph" w:styleId="1251" w:customStyle="1">
    <w:name w:val="项目符号，一级"/>
    <w:basedOn w:val="1043"/>
    <w:next w:val="1043"/>
    <w:uiPriority w:val="0"/>
    <w:qFormat/>
    <w:pPr>
      <w:ind w:left="376" w:firstLine="0"/>
      <w:spacing w:line="240" w:lineRule="atLeast"/>
      <w:tabs>
        <w:tab w:val="left" w:pos="1320" w:leader="none"/>
      </w:tabs>
    </w:pPr>
    <w:rPr>
      <w:bCs w:val="0"/>
      <w:color w:val="000000"/>
      <w:szCs w:val="24"/>
    </w:rPr>
  </w:style>
  <w:style w:type="paragraph" w:styleId="1252" w:customStyle="1">
    <w:name w:val="xl103"/>
    <w:basedOn w:val="8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3" w:customStyle="1">
    <w:name w:val="Char Char Char1"/>
    <w:basedOn w:val="892"/>
    <w:uiPriority w:val="0"/>
    <w:qFormat/>
    <w:pPr>
      <w:spacing w:line="360" w:lineRule="auto"/>
    </w:pPr>
    <w:rPr>
      <w:rFonts w:ascii="Tahoma" w:hAnsi="Tahoma"/>
      <w:sz w:val="24"/>
    </w:rPr>
  </w:style>
  <w:style w:type="paragraph" w:styleId="1254" w:customStyle="1">
    <w:name w:val="Char Char Char Char Char Char Char"/>
    <w:basedOn w:val="874"/>
    <w:uiPriority w:val="0"/>
    <w:qFormat/>
    <w:pPr>
      <w:jc w:val="left"/>
    </w:pPr>
    <w:rPr>
      <w:rFonts w:ascii="Tahoma" w:hAnsi="Tahoma"/>
      <w:sz w:val="24"/>
      <w:szCs w:val="20"/>
    </w:rPr>
  </w:style>
  <w:style w:type="paragraph" w:styleId="1255" w:customStyle="1">
    <w:name w:val="标准小四"/>
    <w:basedOn w:val="874"/>
    <w:uiPriority w:val="0"/>
    <w:qFormat/>
    <w:pPr>
      <w:ind w:firstLine="480"/>
      <w:spacing w:line="360" w:lineRule="auto"/>
    </w:pPr>
    <w:rPr>
      <w:rFonts w:ascii="Arial" w:hAnsi="Arial"/>
      <w:sz w:val="24"/>
      <w:szCs w:val="21"/>
    </w:rPr>
  </w:style>
  <w:style w:type="paragraph" w:styleId="1256" w:customStyle="1">
    <w:name w:val="表格"/>
    <w:basedOn w:val="874"/>
    <w:uiPriority w:val="0"/>
    <w:qFormat/>
    <w:pPr>
      <w:jc w:val="center"/>
      <w:spacing w:line="440" w:lineRule="exact"/>
    </w:pPr>
    <w:rPr>
      <w:rFonts w:ascii="宋体"/>
      <w:sz w:val="24"/>
      <w:szCs w:val="20"/>
    </w:rPr>
  </w:style>
  <w:style w:type="paragraph" w:styleId="1257" w:customStyle="1">
    <w:name w:val="xl88"/>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58" w:customStyle="1">
    <w:name w:val="xl92"/>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59" w:customStyle="1">
    <w:name w:val="xl79"/>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0" w:customStyle="1">
    <w:name w:val="Char Char Char Char Char Char Char1"/>
    <w:basedOn w:val="874"/>
    <w:uiPriority w:val="0"/>
    <w:qFormat/>
    <w:rPr>
      <w:rFonts w:ascii="Tahoma" w:hAnsi="Tahoma"/>
      <w:sz w:val="24"/>
      <w:szCs w:val="20"/>
    </w:rPr>
  </w:style>
  <w:style w:type="paragraph" w:styleId="1261" w:customStyle="1">
    <w:name w:val="_Style 56"/>
    <w:basedOn w:val="892"/>
    <w:uiPriority w:val="0"/>
    <w:qFormat/>
    <w:pPr>
      <w:spacing w:line="436" w:lineRule="exact"/>
    </w:pPr>
    <w:rPr>
      <w:szCs w:val="20"/>
    </w:rPr>
  </w:style>
  <w:style w:type="paragraph" w:styleId="1262" w:customStyle="1">
    <w:name w:val="xl65"/>
    <w:basedOn w:val="8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63" w:customStyle="1">
    <w:name w:val="标准文本"/>
    <w:basedOn w:val="874"/>
    <w:uiPriority w:val="0"/>
    <w:qFormat/>
    <w:pPr>
      <w:ind w:firstLine="480"/>
      <w:spacing w:line="360" w:lineRule="auto"/>
    </w:pPr>
    <w:rPr>
      <w:rFonts w:cs="宋体"/>
      <w:sz w:val="24"/>
    </w:rPr>
  </w:style>
  <w:style w:type="paragraph" w:styleId="1264" w:customStyle="1">
    <w:name w:val="xl71"/>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65" w:customStyle="1">
    <w:name w:val="Char1 Char Char Char"/>
    <w:basedOn w:val="874"/>
    <w:uiPriority w:val="0"/>
    <w:qFormat/>
    <w:rPr>
      <w:rFonts w:ascii="Tahoma" w:hAnsi="Tahoma"/>
      <w:sz w:val="24"/>
      <w:szCs w:val="20"/>
    </w:rPr>
  </w:style>
  <w:style w:type="paragraph" w:styleId="1266" w:customStyle="1">
    <w:name w:val="xl80"/>
    <w:basedOn w:val="8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67" w:customStyle="1">
    <w:name w:val="标题3"/>
    <w:basedOn w:val="874"/>
    <w:uiPriority w:val="0"/>
    <w:qFormat/>
    <w:pPr>
      <w:ind w:firstLine="425"/>
      <w:jc w:val="left"/>
      <w:keepNext/>
      <w:spacing w:before="120" w:after="60" w:line="354" w:lineRule="auto"/>
      <w:widowControl/>
      <w:tabs>
        <w:tab w:val="left" w:pos="450" w:leader="none"/>
      </w:tabs>
    </w:pPr>
    <w:rPr>
      <w:rFonts w:ascii="宋体"/>
      <w:b/>
      <w:sz w:val="24"/>
      <w:szCs w:val="20"/>
    </w:rPr>
  </w:style>
  <w:style w:type="paragraph" w:styleId="1268" w:customStyle="1">
    <w:name w:val="正文加重首行缩进2字"/>
    <w:basedOn w:val="874"/>
    <w:uiPriority w:val="0"/>
    <w:qFormat/>
    <w:pPr>
      <w:ind w:firstLine="560"/>
      <w:spacing w:before="100" w:beforeAutospacing="1" w:after="100" w:afterAutospacing="1"/>
    </w:pPr>
    <w:rPr>
      <w:rFonts w:eastAsia="仿宋_GB2312"/>
      <w:b/>
      <w:bCs/>
      <w:sz w:val="24"/>
    </w:rPr>
  </w:style>
  <w:style w:type="paragraph" w:styleId="1269" w:customStyle="1">
    <w:name w:val="正文lzq"/>
    <w:basedOn w:val="874"/>
    <w:uiPriority w:val="0"/>
    <w:qFormat/>
    <w:pPr>
      <w:ind w:firstLine="480"/>
      <w:spacing w:line="360" w:lineRule="auto"/>
    </w:pPr>
    <w:rPr>
      <w:sz w:val="24"/>
      <w:szCs w:val="20"/>
    </w:rPr>
  </w:style>
  <w:style w:type="paragraph" w:styleId="1270" w:customStyle="1">
    <w:name w:val="xl57"/>
    <w:basedOn w:val="87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table" w:styleId="1271" w:customStyle="1">
    <w:name w:val="网格型1"/>
    <w:basedOn w:val="8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72" w:customStyle="1">
    <w:name w:val="cfdate"/>
    <w:basedOn w:val="884"/>
    <w:uiPriority w:val="0"/>
    <w:qFormat/>
    <w:rPr>
      <w:color w:val="333333"/>
      <w:sz w:val="18"/>
      <w:szCs w:val="18"/>
    </w:rPr>
  </w:style>
  <w:style w:type="character" w:styleId="1273" w:customStyle="1">
    <w:name w:val="qxdate"/>
    <w:basedOn w:val="884"/>
    <w:uiPriority w:val="0"/>
    <w:qFormat/>
    <w:rPr>
      <w:color w:val="333333"/>
      <w:sz w:val="18"/>
      <w:szCs w:val="18"/>
    </w:rPr>
  </w:style>
  <w:style w:type="character" w:styleId="1274" w:customStyle="1">
    <w:name w:val="prev"/>
    <w:basedOn w:val="884"/>
    <w:uiPriority w:val="0"/>
    <w:qFormat/>
    <w:rPr>
      <w:rFonts w:ascii="微软雅黑" w:hAnsi="微软雅黑" w:eastAsia="微软雅黑" w:cs="微软雅黑"/>
      <w:sz w:val="21"/>
      <w:szCs w:val="21"/>
    </w:rPr>
  </w:style>
  <w:style w:type="character" w:styleId="1275" w:customStyle="1">
    <w:name w:val="prev1"/>
    <w:basedOn w:val="884"/>
    <w:uiPriority w:val="0"/>
    <w:qFormat/>
    <w:rPr>
      <w:color w:val="888888"/>
    </w:rPr>
  </w:style>
  <w:style w:type="character" w:styleId="1276" w:customStyle="1">
    <w:name w:val="gjfg"/>
    <w:basedOn w:val="884"/>
    <w:uiPriority w:val="0"/>
    <w:qFormat/>
  </w:style>
  <w:style w:type="character" w:styleId="1277" w:customStyle="1">
    <w:name w:val="redfilenumber"/>
    <w:basedOn w:val="884"/>
    <w:uiPriority w:val="0"/>
    <w:qFormat/>
    <w:rPr>
      <w:color w:val="ba2636"/>
      <w:sz w:val="18"/>
      <w:szCs w:val="18"/>
    </w:rPr>
  </w:style>
  <w:style w:type="character" w:styleId="1278" w:customStyle="1">
    <w:name w:val="next"/>
    <w:basedOn w:val="884"/>
    <w:uiPriority w:val="0"/>
    <w:qFormat/>
    <w:rPr>
      <w:rFonts w:hint="eastAsia" w:ascii="微软雅黑" w:hAnsi="微软雅黑" w:eastAsia="微软雅黑" w:cs="微软雅黑"/>
      <w:sz w:val="21"/>
      <w:szCs w:val="21"/>
    </w:rPr>
  </w:style>
  <w:style w:type="character" w:styleId="1279" w:customStyle="1">
    <w:name w:val="next1"/>
    <w:basedOn w:val="884"/>
    <w:uiPriority w:val="0"/>
    <w:qFormat/>
    <w:rPr>
      <w:color w:val="888888"/>
    </w:rPr>
  </w:style>
  <w:style w:type="character" w:styleId="1280" w:customStyle="1">
    <w:name w:val="redfilefwwh"/>
    <w:basedOn w:val="884"/>
    <w:uiPriority w:val="0"/>
    <w:qFormat/>
    <w:rPr>
      <w:color w:val="ba2636"/>
      <w:sz w:val="18"/>
      <w:szCs w:val="18"/>
    </w:rPr>
  </w:style>
  <w:style w:type="character" w:styleId="1281" w:customStyle="1">
    <w:name w:val="displayarti"/>
    <w:basedOn w:val="884"/>
    <w:uiPriority w:val="0"/>
    <w:qFormat/>
    <w:rPr>
      <w:color w:val="ffffff"/>
      <w:shd w:val="clear" w:color="auto" w:fill="a00000"/>
    </w:rPr>
  </w:style>
  <w:style w:type="paragraph" w:styleId="1282" w:customStyle="1">
    <w:name w:val="WPSOffice手动目录 1"/>
    <w:uiPriority w:val="0"/>
    <w:qFormat/>
    <w:rPr>
      <w:rFonts w:ascii="Times New Roman" w:hAnsi="Times New Roman" w:eastAsia="宋体" w:cs="Times New Roman"/>
      <w:lang w:val="en-US" w:eastAsia="zh-CN" w:bidi="ar-SA"/>
    </w:rPr>
  </w:style>
  <w:style w:type="paragraph" w:styleId="1283" w:customStyle="1">
    <w:name w:val="WPSOffice手动目录 2"/>
    <w:uiPriority w:val="0"/>
    <w:qFormat/>
    <w:pPr>
      <w:ind w:left="200"/>
    </w:pPr>
    <w:rPr>
      <w:rFonts w:ascii="Times New Roman" w:hAnsi="Times New Roman" w:eastAsia="宋体" w:cs="Times New Roman"/>
      <w:lang w:val="en-US" w:eastAsia="zh-CN" w:bidi="ar-SA"/>
    </w:rPr>
  </w:style>
  <w:style w:type="character" w:styleId="1284" w:customStyle="1">
    <w:name w:val="列出段落 Char"/>
    <w:link w:val="1081"/>
    <w:uiPriority w:val="99"/>
    <w:qFormat/>
    <w:rPr>
      <w:rFonts w:ascii="Calibri" w:hAnsi="Calibri"/>
      <w:sz w:val="21"/>
      <w:szCs w:val="22"/>
    </w:rPr>
  </w:style>
  <w:style w:type="character" w:styleId="1285" w:customStyle="1">
    <w:name w:val="标题 2 Char1"/>
    <w:uiPriority w:val="99"/>
    <w:qFormat/>
    <w:rPr>
      <w:rFonts w:ascii="Cambria" w:hAnsi="Cambria"/>
      <w:b/>
      <w:bCs/>
      <w:sz w:val="32"/>
      <w:szCs w:val="32"/>
    </w:rPr>
  </w:style>
  <w:style w:type="paragraph" w:styleId="1286" w:customStyle="1">
    <w:name w:val="0正文"/>
    <w:basedOn w:val="874"/>
    <w:uiPriority w:val="0"/>
    <w:qFormat/>
    <w:pPr>
      <w:ind w:firstLine="720"/>
      <w:jc w:val="left"/>
      <w:spacing w:line="360" w:lineRule="auto"/>
    </w:pPr>
    <w:rPr>
      <w:sz w:val="24"/>
      <w:szCs w:val="22"/>
    </w:rPr>
  </w:style>
  <w:style w:type="character" w:styleId="1287" w:customStyle="1">
    <w:name w:val="标题 2 字符"/>
    <w:uiPriority w:val="99"/>
    <w:qFormat/>
    <w:rPr>
      <w:rFonts w:ascii="Cambria" w:hAnsi="Cambria"/>
      <w:b/>
      <w:bCs/>
      <w:sz w:val="32"/>
      <w:szCs w:val="32"/>
    </w:rPr>
  </w:style>
  <w:style w:type="paragraph" w:styleId="1288" w:customStyle="1">
    <w:name w:val="标题 61"/>
    <w:basedOn w:val="874"/>
    <w:uiPriority w:val="1"/>
    <w:qFormat/>
    <w:pPr>
      <w:ind w:left="680"/>
      <w:outlineLvl w:val="6"/>
    </w:pPr>
    <w:rPr>
      <w:sz w:val="24"/>
    </w:rPr>
  </w:style>
  <w:style w:type="character" w:styleId="1289" w:customStyle="1">
    <w:name w:val="1page sec3 Char2"/>
    <w:uiPriority w:val="0"/>
    <w:qFormat/>
    <w:rPr>
      <w:rFonts w:eastAsia="宋体"/>
      <w:sz w:val="18"/>
      <w:szCs w:val="18"/>
      <w:lang w:val="en-US" w:eastAsia="zh-CN" w:bidi="ar-SA"/>
    </w:rPr>
  </w:style>
  <w:style w:type="table" w:styleId="1290" w:customStyle="1">
    <w:name w:val="网格型2"/>
    <w:basedOn w:val="8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91" w:customStyle="1">
    <w:name w:val="font21"/>
    <w:basedOn w:val="884"/>
    <w:uiPriority w:val="0"/>
    <w:qFormat/>
    <w:rPr>
      <w:rFonts w:hint="eastAsia" w:ascii="宋体" w:hAnsi="宋体" w:eastAsia="宋体" w:cs="宋体"/>
      <w:b/>
      <w:bCs/>
      <w:color w:val="000000"/>
      <w:sz w:val="24"/>
      <w:szCs w:val="24"/>
      <w:u w:val="none"/>
    </w:rPr>
  </w:style>
  <w:style w:type="character" w:styleId="1292" w:customStyle="1">
    <w:name w:val="font31"/>
    <w:basedOn w:val="884"/>
    <w:uiPriority w:val="0"/>
    <w:qFormat/>
    <w:rPr>
      <w:rFonts w:hint="eastAsia" w:ascii="宋体" w:hAnsi="宋体" w:eastAsia="宋体" w:cs="宋体"/>
      <w:color w:val="000000"/>
      <w:sz w:val="24"/>
      <w:szCs w:val="24"/>
      <w:u w:val="none"/>
    </w:rPr>
  </w:style>
  <w:style w:type="character" w:styleId="1293" w:customStyle="1">
    <w:name w:val="font51"/>
    <w:basedOn w:val="884"/>
    <w:uiPriority w:val="0"/>
    <w:qFormat/>
    <w:rPr>
      <w:rFonts w:hint="eastAsia" w:ascii="宋体" w:hAnsi="宋体" w:eastAsia="宋体" w:cs="宋体"/>
      <w:b/>
      <w:bCs/>
      <w:color w:val="000000"/>
      <w:sz w:val="22"/>
      <w:szCs w:val="22"/>
      <w:u w:val="none"/>
    </w:rPr>
  </w:style>
  <w:style w:type="numbering" w:styleId="12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戴明兴</cp:lastModifiedBy>
  <cp:revision>8</cp:revision>
  <dcterms:created xsi:type="dcterms:W3CDTF">2025-11-17T07:49:00Z</dcterms:created>
  <dcterms:modified xsi:type="dcterms:W3CDTF">2025-11-28T08:58:18Z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83FE9D9AB3B9477B9DCF63CC43520791_13</vt:lpwstr>
  </property>
  <property fmtid="{D5CDD505-2E9C-101B-9397-08002B2CF9AE}" pid="4" name="KSOTemplateDocerSaveRecord">
    <vt:lpwstr>eyJoZGlkIjoiYmM5MDUyMmExYmEzN2NlMTM1ZjlmYjE5M2E4ZDA2OTMiLCJ1c2VySWQiOiIzNzkyMjY1MTgifQ==</vt:lpwstr>
  </property>
</Properties>
</file>